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tabs>
          <w:tab w:val="left" w:pos="6669"/>
        </w:tabs>
        <w:spacing w:after="0"/>
        <w:ind w:left="198"/>
        <w:rPr>
          <w:rFonts w:hint="eastAsia" w:eastAsia="仿宋_GB2312" w:cs="宋体"/>
          <w:sz w:val="52"/>
          <w:szCs w:val="52"/>
          <w:highlight w:val="none"/>
          <w:u w:val="none"/>
          <w:lang w:eastAsia="zh-CN"/>
        </w:rPr>
      </w:pPr>
    </w:p>
    <w:p>
      <w:pPr>
        <w:spacing w:line="600" w:lineRule="exact"/>
        <w:jc w:val="left"/>
        <w:rPr>
          <w:rFonts w:ascii="Arial" w:hAnsi="Arial" w:eastAsia="Symbol"/>
          <w:b/>
          <w:bCs/>
          <w:sz w:val="32"/>
          <w:szCs w:val="32"/>
          <w:highlight w:val="none"/>
          <w:u w:val="none"/>
        </w:rPr>
      </w:pPr>
    </w:p>
    <w:p>
      <w:pPr>
        <w:pStyle w:val="2"/>
        <w:rPr>
          <w:rFonts w:hint="default"/>
          <w:highlight w:val="none"/>
          <w:u w:val="none"/>
        </w:rPr>
      </w:pPr>
    </w:p>
    <w:p>
      <w:pPr>
        <w:spacing w:line="600" w:lineRule="exact"/>
        <w:jc w:val="center"/>
        <w:rPr>
          <w:rFonts w:ascii="Arial" w:hAnsi="Arial" w:eastAsia="宋体"/>
          <w:b/>
          <w:bCs/>
          <w:sz w:val="32"/>
          <w:szCs w:val="32"/>
          <w:highlight w:val="none"/>
          <w:u w:val="none"/>
        </w:rPr>
      </w:pPr>
    </w:p>
    <w:p>
      <w:pPr>
        <w:spacing w:line="600" w:lineRule="exact"/>
        <w:jc w:val="center"/>
        <w:rPr>
          <w:rFonts w:ascii="Arial" w:hAnsi="Arial" w:eastAsia="宋体"/>
          <w:b/>
          <w:bCs/>
          <w:sz w:val="32"/>
          <w:szCs w:val="32"/>
          <w:highlight w:val="none"/>
          <w:u w:val="none"/>
        </w:rPr>
      </w:pPr>
    </w:p>
    <w:p>
      <w:pPr>
        <w:spacing w:line="600" w:lineRule="exact"/>
        <w:jc w:val="center"/>
        <w:rPr>
          <w:rFonts w:ascii="Arial" w:hAnsi="Arial" w:eastAsia="宋体"/>
          <w:b/>
          <w:bCs/>
          <w:sz w:val="32"/>
          <w:szCs w:val="32"/>
          <w:highlight w:val="none"/>
          <w:u w:val="none"/>
        </w:rPr>
      </w:pPr>
    </w:p>
    <w:p>
      <w:pPr>
        <w:spacing w:line="360" w:lineRule="auto"/>
        <w:jc w:val="center"/>
        <w:rPr>
          <w:rFonts w:ascii="方正小标宋简体" w:hAnsi="方正小标宋简体" w:eastAsia="方正小标宋简体" w:cs="方正小标宋简体"/>
          <w:sz w:val="44"/>
          <w:szCs w:val="44"/>
          <w:highlight w:val="none"/>
          <w:u w:val="none"/>
        </w:rPr>
      </w:pPr>
      <w:r>
        <w:rPr>
          <w:rFonts w:hint="eastAsia" w:ascii="方正小标宋简体" w:hAnsi="方正小标宋简体" w:eastAsia="方正小标宋简体" w:cs="方正小标宋简体"/>
          <w:sz w:val="44"/>
          <w:szCs w:val="44"/>
          <w:highlight w:val="none"/>
          <w:u w:val="none"/>
          <w:lang w:val="en-US" w:eastAsia="zh-CN"/>
        </w:rPr>
        <w:t>2023</w:t>
      </w:r>
      <w:r>
        <w:rPr>
          <w:rFonts w:hint="eastAsia" w:ascii="方正小标宋简体" w:hAnsi="方正小标宋简体" w:eastAsia="方正小标宋简体" w:cs="方正小标宋简体"/>
          <w:sz w:val="44"/>
          <w:szCs w:val="44"/>
          <w:highlight w:val="none"/>
          <w:u w:val="none"/>
        </w:rPr>
        <w:t>年</w:t>
      </w:r>
      <w:r>
        <w:rPr>
          <w:rFonts w:hint="eastAsia" w:ascii="方正小标宋简体" w:hAnsi="方正小标宋简体" w:eastAsia="方正小标宋简体" w:cs="方正小标宋简体"/>
          <w:sz w:val="44"/>
          <w:szCs w:val="44"/>
          <w:highlight w:val="none"/>
          <w:u w:val="none"/>
          <w:lang w:val="en-US" w:eastAsia="zh-CN"/>
        </w:rPr>
        <w:t>度内蒙古自治区人民医院预算公</w:t>
      </w:r>
      <w:r>
        <w:rPr>
          <w:rFonts w:hint="eastAsia" w:ascii="方正小标宋简体" w:hAnsi="方正小标宋简体" w:eastAsia="方正小标宋简体" w:cs="方正小标宋简体"/>
          <w:sz w:val="44"/>
          <w:szCs w:val="44"/>
          <w:highlight w:val="none"/>
          <w:u w:val="none"/>
        </w:rPr>
        <w:t>开</w:t>
      </w:r>
    </w:p>
    <w:p>
      <w:pPr>
        <w:adjustRightInd w:val="0"/>
        <w:snapToGrid w:val="0"/>
        <w:spacing w:line="600" w:lineRule="exact"/>
        <w:ind w:firstLine="640"/>
        <w:rPr>
          <w:rFonts w:ascii="Times New Roman" w:hAnsi="Times New Roman" w:eastAsia="仿宋_GB2312"/>
          <w:sz w:val="32"/>
          <w:szCs w:val="32"/>
          <w:highlight w:val="none"/>
          <w:u w:val="none"/>
        </w:rPr>
      </w:pPr>
    </w:p>
    <w:p>
      <w:pPr>
        <w:adjustRightInd w:val="0"/>
        <w:snapToGrid w:val="0"/>
        <w:spacing w:line="600" w:lineRule="exact"/>
        <w:ind w:firstLine="640"/>
        <w:rPr>
          <w:rFonts w:ascii="Times New Roman" w:hAnsi="Times New Roman" w:eastAsia="仿宋_GB2312"/>
          <w:sz w:val="32"/>
          <w:szCs w:val="32"/>
          <w:highlight w:val="none"/>
          <w:u w:val="none"/>
        </w:rPr>
      </w:pPr>
    </w:p>
    <w:p>
      <w:pPr>
        <w:adjustRightInd w:val="0"/>
        <w:snapToGrid w:val="0"/>
        <w:spacing w:line="600" w:lineRule="exact"/>
        <w:ind w:firstLine="640"/>
        <w:rPr>
          <w:rFonts w:ascii="Times New Roman" w:hAnsi="Times New Roman" w:eastAsia="仿宋_GB2312"/>
          <w:sz w:val="32"/>
          <w:szCs w:val="32"/>
          <w:highlight w:val="none"/>
          <w:u w:val="none"/>
        </w:rPr>
      </w:pPr>
    </w:p>
    <w:p>
      <w:pPr>
        <w:adjustRightInd w:val="0"/>
        <w:snapToGrid w:val="0"/>
        <w:spacing w:line="600" w:lineRule="exact"/>
        <w:ind w:firstLine="640"/>
        <w:rPr>
          <w:rFonts w:ascii="Times New Roman" w:hAnsi="Times New Roman" w:eastAsia="仿宋_GB2312"/>
          <w:sz w:val="32"/>
          <w:szCs w:val="32"/>
          <w:highlight w:val="none"/>
          <w:u w:val="none"/>
        </w:rPr>
      </w:pPr>
    </w:p>
    <w:p>
      <w:pPr>
        <w:adjustRightInd w:val="0"/>
        <w:snapToGrid w:val="0"/>
        <w:spacing w:line="600" w:lineRule="exact"/>
        <w:ind w:firstLine="640"/>
        <w:rPr>
          <w:rFonts w:ascii="Times New Roman" w:hAnsi="Times New Roman" w:eastAsia="仿宋_GB2312"/>
          <w:sz w:val="32"/>
          <w:szCs w:val="32"/>
          <w:highlight w:val="none"/>
          <w:u w:val="none"/>
        </w:rPr>
      </w:pPr>
    </w:p>
    <w:p>
      <w:pPr>
        <w:adjustRightInd w:val="0"/>
        <w:snapToGrid w:val="0"/>
        <w:spacing w:line="600" w:lineRule="exact"/>
        <w:ind w:firstLine="640"/>
        <w:rPr>
          <w:rFonts w:ascii="Times New Roman" w:hAnsi="Times New Roman" w:eastAsia="仿宋_GB2312"/>
          <w:sz w:val="32"/>
          <w:szCs w:val="32"/>
          <w:highlight w:val="none"/>
          <w:u w:val="none"/>
        </w:rPr>
      </w:pPr>
    </w:p>
    <w:p>
      <w:pPr>
        <w:adjustRightInd w:val="0"/>
        <w:snapToGrid w:val="0"/>
        <w:spacing w:line="600" w:lineRule="exact"/>
        <w:ind w:firstLine="640"/>
        <w:rPr>
          <w:rFonts w:ascii="Times New Roman" w:hAnsi="Times New Roman" w:eastAsia="仿宋_GB2312"/>
          <w:sz w:val="32"/>
          <w:szCs w:val="32"/>
          <w:highlight w:val="none"/>
          <w:u w:val="none"/>
        </w:rPr>
      </w:pPr>
    </w:p>
    <w:p>
      <w:pPr>
        <w:adjustRightInd w:val="0"/>
        <w:snapToGrid w:val="0"/>
        <w:spacing w:line="600" w:lineRule="exact"/>
        <w:ind w:firstLine="640"/>
        <w:rPr>
          <w:rFonts w:ascii="Times New Roman" w:hAnsi="Times New Roman" w:eastAsia="仿宋_GB2312"/>
          <w:sz w:val="32"/>
          <w:szCs w:val="32"/>
          <w:highlight w:val="none"/>
          <w:u w:val="none"/>
        </w:rPr>
      </w:pPr>
    </w:p>
    <w:p>
      <w:pPr>
        <w:adjustRightInd w:val="0"/>
        <w:snapToGrid w:val="0"/>
        <w:spacing w:line="600" w:lineRule="exact"/>
        <w:ind w:firstLine="640"/>
        <w:rPr>
          <w:rFonts w:ascii="Times New Roman" w:hAnsi="Times New Roman" w:eastAsia="仿宋_GB2312"/>
          <w:sz w:val="32"/>
          <w:szCs w:val="32"/>
          <w:highlight w:val="none"/>
          <w:u w:val="none"/>
        </w:rPr>
      </w:pPr>
    </w:p>
    <w:p>
      <w:pPr>
        <w:pStyle w:val="2"/>
        <w:spacing w:after="0" w:line="600" w:lineRule="exact"/>
        <w:ind w:left="0" w:leftChars="0" w:firstLine="0"/>
        <w:jc w:val="center"/>
        <w:rPr>
          <w:rFonts w:hint="default" w:ascii="黑体" w:hAnsi="黑体" w:eastAsia="黑体" w:cs="黑体"/>
          <w:highlight w:val="none"/>
          <w:u w:val="none"/>
        </w:rPr>
      </w:pPr>
      <w:r>
        <w:rPr>
          <w:rFonts w:ascii="黑体" w:hAnsi="黑体" w:eastAsia="黑体" w:cs="黑体"/>
          <w:sz w:val="32"/>
          <w:szCs w:val="32"/>
          <w:highlight w:val="none"/>
          <w:u w:val="none"/>
        </w:rPr>
        <w:t>批复时间：</w:t>
      </w:r>
      <w:r>
        <w:rPr>
          <w:rFonts w:hint="eastAsia" w:ascii="黑体" w:hAnsi="黑体" w:eastAsia="黑体" w:cs="黑体"/>
          <w:sz w:val="32"/>
          <w:szCs w:val="32"/>
          <w:highlight w:val="none"/>
          <w:u w:val="none"/>
          <w:lang w:val="en-US" w:eastAsia="zh-CN"/>
        </w:rPr>
        <w:t>2023</w:t>
      </w:r>
      <w:r>
        <w:rPr>
          <w:rFonts w:ascii="黑体" w:hAnsi="黑体" w:eastAsia="黑体" w:cs="黑体"/>
          <w:sz w:val="32"/>
          <w:szCs w:val="32"/>
          <w:highlight w:val="none"/>
          <w:u w:val="none"/>
        </w:rPr>
        <w:t>年</w:t>
      </w:r>
      <w:r>
        <w:rPr>
          <w:rFonts w:hint="eastAsia" w:ascii="黑体" w:hAnsi="黑体" w:eastAsia="黑体" w:cs="黑体"/>
          <w:sz w:val="32"/>
          <w:szCs w:val="32"/>
          <w:highlight w:val="none"/>
          <w:u w:val="none"/>
          <w:lang w:val="en-US" w:eastAsia="zh-CN"/>
        </w:rPr>
        <w:t>2</w:t>
      </w:r>
      <w:r>
        <w:rPr>
          <w:rFonts w:ascii="黑体" w:hAnsi="黑体" w:eastAsia="黑体" w:cs="黑体"/>
          <w:sz w:val="32"/>
          <w:szCs w:val="32"/>
          <w:highlight w:val="none"/>
          <w:u w:val="none"/>
        </w:rPr>
        <w:t>月</w:t>
      </w:r>
      <w:r>
        <w:rPr>
          <w:rFonts w:hint="eastAsia" w:ascii="黑体" w:hAnsi="黑体" w:eastAsia="黑体" w:cs="黑体"/>
          <w:sz w:val="32"/>
          <w:szCs w:val="32"/>
          <w:highlight w:val="none"/>
          <w:u w:val="none"/>
          <w:lang w:val="en-US" w:eastAsia="zh-CN"/>
        </w:rPr>
        <w:t xml:space="preserve"> 1 </w:t>
      </w:r>
      <w:r>
        <w:rPr>
          <w:rFonts w:ascii="黑体" w:hAnsi="黑体" w:eastAsia="黑体" w:cs="黑体"/>
          <w:sz w:val="32"/>
          <w:szCs w:val="32"/>
          <w:highlight w:val="none"/>
          <w:u w:val="none"/>
        </w:rPr>
        <w:t>日</w:t>
      </w:r>
    </w:p>
    <w:p>
      <w:pPr>
        <w:pStyle w:val="2"/>
        <w:spacing w:after="0" w:line="600" w:lineRule="exact"/>
        <w:ind w:left="0" w:leftChars="0" w:firstLine="0"/>
        <w:jc w:val="center"/>
        <w:rPr>
          <w:rFonts w:hint="default" w:ascii="黑体" w:hAnsi="黑体" w:eastAsia="黑体" w:cs="黑体"/>
          <w:highlight w:val="none"/>
          <w:u w:val="none"/>
        </w:rPr>
      </w:pPr>
      <w:r>
        <w:rPr>
          <w:rFonts w:ascii="黑体" w:hAnsi="黑体" w:eastAsia="黑体" w:cs="黑体"/>
          <w:sz w:val="32"/>
          <w:szCs w:val="32"/>
          <w:highlight w:val="none"/>
          <w:u w:val="none"/>
        </w:rPr>
        <w:t>公开时间：</w:t>
      </w:r>
      <w:r>
        <w:rPr>
          <w:rFonts w:hint="eastAsia" w:ascii="黑体" w:hAnsi="黑体" w:eastAsia="黑体" w:cs="黑体"/>
          <w:sz w:val="32"/>
          <w:szCs w:val="32"/>
          <w:highlight w:val="none"/>
          <w:u w:val="none"/>
          <w:lang w:val="en-US" w:eastAsia="zh-CN"/>
        </w:rPr>
        <w:t>2023</w:t>
      </w:r>
      <w:r>
        <w:rPr>
          <w:rFonts w:ascii="黑体" w:hAnsi="黑体" w:eastAsia="黑体" w:cs="黑体"/>
          <w:sz w:val="32"/>
          <w:szCs w:val="32"/>
          <w:highlight w:val="none"/>
          <w:u w:val="none"/>
        </w:rPr>
        <w:t>年</w:t>
      </w:r>
      <w:r>
        <w:rPr>
          <w:rFonts w:hint="eastAsia" w:ascii="黑体" w:hAnsi="黑体" w:eastAsia="黑体" w:cs="黑体"/>
          <w:sz w:val="32"/>
          <w:szCs w:val="32"/>
          <w:highlight w:val="none"/>
          <w:u w:val="none"/>
          <w:lang w:val="en-US" w:eastAsia="zh-CN"/>
        </w:rPr>
        <w:t>2</w:t>
      </w:r>
      <w:r>
        <w:rPr>
          <w:rFonts w:ascii="黑体" w:hAnsi="黑体" w:eastAsia="黑体" w:cs="黑体"/>
          <w:sz w:val="32"/>
          <w:szCs w:val="32"/>
          <w:highlight w:val="none"/>
          <w:u w:val="none"/>
        </w:rPr>
        <w:t>月</w:t>
      </w:r>
      <w:r>
        <w:rPr>
          <w:rFonts w:hint="eastAsia" w:ascii="黑体" w:hAnsi="黑体" w:eastAsia="黑体" w:cs="黑体"/>
          <w:sz w:val="32"/>
          <w:szCs w:val="32"/>
          <w:highlight w:val="none"/>
          <w:u w:val="none"/>
          <w:lang w:val="en-US" w:eastAsia="zh-CN"/>
        </w:rPr>
        <w:t>16</w:t>
      </w:r>
      <w:r>
        <w:rPr>
          <w:rFonts w:ascii="黑体" w:hAnsi="黑体" w:eastAsia="黑体" w:cs="黑体"/>
          <w:sz w:val="32"/>
          <w:szCs w:val="32"/>
          <w:highlight w:val="none"/>
          <w:u w:val="none"/>
        </w:rPr>
        <w:t>日</w:t>
      </w:r>
    </w:p>
    <w:p>
      <w:pPr>
        <w:pageBreakBefore/>
        <w:tabs>
          <w:tab w:val="left" w:pos="4533"/>
        </w:tabs>
        <w:adjustRightInd w:val="0"/>
        <w:snapToGrid w:val="0"/>
        <w:spacing w:line="600" w:lineRule="exact"/>
        <w:jc w:val="center"/>
        <w:rPr>
          <w:sz w:val="44"/>
          <w:szCs w:val="44"/>
          <w:highlight w:val="none"/>
          <w:u w:val="none"/>
        </w:rPr>
      </w:pPr>
      <w:r>
        <w:rPr>
          <w:sz w:val="44"/>
          <w:szCs w:val="44"/>
          <w:highlight w:val="none"/>
          <w:u w:val="none"/>
        </w:rPr>
        <w:t>目录</w:t>
      </w:r>
    </w:p>
    <w:p>
      <w:pPr>
        <w:rPr>
          <w:highlight w:val="none"/>
          <w:u w:val="none"/>
        </w:rPr>
      </w:pPr>
    </w:p>
    <w:p>
      <w:pPr>
        <w:pStyle w:val="10"/>
        <w:spacing w:after="0" w:line="600" w:lineRule="exact"/>
        <w:rPr>
          <w:rFonts w:ascii="黑体" w:hAnsi="黑体" w:eastAsia="黑体" w:cs="黑体"/>
          <w:sz w:val="32"/>
          <w:szCs w:val="32"/>
          <w:highlight w:val="none"/>
          <w:u w:val="none"/>
        </w:rPr>
      </w:pPr>
      <w:r>
        <w:rPr>
          <w:rFonts w:hint="eastAsia" w:ascii="黑体" w:hAnsi="黑体" w:eastAsia="黑体" w:cs="黑体"/>
          <w:sz w:val="32"/>
          <w:szCs w:val="32"/>
          <w:highlight w:val="none"/>
          <w:u w:val="none"/>
        </w:rPr>
        <w:t>第一部分单位概况</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一、主要职能、职责</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二、单位机构设置及预算单位构成情况</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三、</w:t>
      </w:r>
      <w:r>
        <w:rPr>
          <w:rFonts w:hint="eastAsia" w:ascii="仿宋" w:hAnsi="仿宋" w:eastAsia="仿宋" w:cs="仿宋"/>
          <w:sz w:val="32"/>
          <w:szCs w:val="32"/>
          <w:highlight w:val="none"/>
          <w:u w:val="none"/>
          <w:lang w:val="en-US" w:eastAsia="zh-CN"/>
        </w:rPr>
        <w:t>2023</w:t>
      </w:r>
      <w:r>
        <w:rPr>
          <w:rFonts w:hint="eastAsia" w:ascii="仿宋" w:hAnsi="仿宋" w:eastAsia="仿宋" w:cs="仿宋"/>
          <w:sz w:val="32"/>
          <w:szCs w:val="32"/>
          <w:highlight w:val="none"/>
          <w:u w:val="none"/>
        </w:rPr>
        <w:t>年度单位主要工作任务及目标</w:t>
      </w:r>
    </w:p>
    <w:p>
      <w:pPr>
        <w:pStyle w:val="10"/>
        <w:spacing w:after="0" w:line="600" w:lineRule="exact"/>
        <w:rPr>
          <w:rFonts w:ascii="黑体" w:hAnsi="黑体" w:eastAsia="黑体" w:cs="黑体"/>
          <w:sz w:val="32"/>
          <w:szCs w:val="32"/>
          <w:highlight w:val="none"/>
          <w:u w:val="none"/>
        </w:rPr>
      </w:pPr>
      <w:r>
        <w:rPr>
          <w:rFonts w:hint="eastAsia" w:ascii="黑体" w:hAnsi="黑体" w:eastAsia="黑体" w:cs="黑体"/>
          <w:sz w:val="32"/>
          <w:szCs w:val="32"/>
          <w:highlight w:val="none"/>
          <w:u w:val="none"/>
        </w:rPr>
        <w:t>第二部分</w:t>
      </w:r>
      <w:r>
        <w:rPr>
          <w:rFonts w:hint="eastAsia" w:ascii="黑体" w:hAnsi="黑体" w:eastAsia="黑体" w:cs="黑体"/>
          <w:sz w:val="32"/>
          <w:szCs w:val="32"/>
          <w:highlight w:val="none"/>
          <w:u w:val="none"/>
          <w:lang w:val="en-US" w:eastAsia="zh-CN"/>
        </w:rPr>
        <w:t>2023</w:t>
      </w:r>
      <w:r>
        <w:rPr>
          <w:rFonts w:hint="eastAsia" w:ascii="黑体" w:hAnsi="黑体" w:eastAsia="黑体" w:cs="黑体"/>
          <w:sz w:val="32"/>
          <w:szCs w:val="32"/>
          <w:highlight w:val="none"/>
          <w:u w:val="none"/>
        </w:rPr>
        <w:t>年度单位预算情况说明</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一、收支预算总体情况说明</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二、收入预算情况说明</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三、支出预算情况说明</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四、财政拨款收支预算总体情况说明</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五、一般公共预算支出预算情况说明</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六、一般公共预算基本支出预算情况说明</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七、一般公共预算“三公”经费支出预算情况说明</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八、政府性基金预算支出预算情况说明</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九、国有资本经营预算支出预算情况说明</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十、项目支出预算情况说明</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十一、</w:t>
      </w:r>
      <w:r>
        <w:rPr>
          <w:rFonts w:hint="eastAsia" w:ascii="仿宋" w:hAnsi="仿宋" w:eastAsia="仿宋" w:cs="仿宋"/>
          <w:sz w:val="32"/>
          <w:szCs w:val="32"/>
          <w:highlight w:val="none"/>
          <w:u w:val="none"/>
          <w:lang w:val="en-US" w:eastAsia="zh-CN"/>
        </w:rPr>
        <w:t>机构</w:t>
      </w:r>
      <w:r>
        <w:rPr>
          <w:rFonts w:hint="eastAsia" w:ascii="仿宋" w:hAnsi="仿宋" w:eastAsia="仿宋" w:cs="仿宋"/>
          <w:sz w:val="32"/>
          <w:szCs w:val="32"/>
          <w:highlight w:val="none"/>
          <w:u w:val="none"/>
        </w:rPr>
        <w:t>运行经费支出预算情况说明</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十二、政府采购支出预算情况说明</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十三、国有资产占用情况说明</w:t>
      </w:r>
    </w:p>
    <w:p>
      <w:pPr>
        <w:widowControl/>
        <w:spacing w:line="600" w:lineRule="exact"/>
        <w:jc w:val="left"/>
        <w:rPr>
          <w:rFonts w:hint="eastAsia" w:ascii="仿宋" w:hAnsi="仿宋" w:eastAsia="仿宋" w:cs="仿宋"/>
          <w:sz w:val="32"/>
          <w:szCs w:val="32"/>
          <w:highlight w:val="none"/>
          <w:u w:val="none"/>
          <w:lang w:eastAsia="zh-CN"/>
        </w:rPr>
      </w:pPr>
      <w:r>
        <w:rPr>
          <w:rFonts w:hint="eastAsia" w:ascii="仿宋" w:hAnsi="仿宋" w:eastAsia="仿宋" w:cs="仿宋"/>
          <w:sz w:val="32"/>
          <w:szCs w:val="32"/>
          <w:highlight w:val="none"/>
          <w:u w:val="none"/>
        </w:rPr>
        <w:t>十四、项目绩效目标情况说明</w:t>
      </w:r>
    </w:p>
    <w:p>
      <w:pPr>
        <w:pStyle w:val="10"/>
        <w:spacing w:after="0" w:line="600" w:lineRule="exact"/>
        <w:rPr>
          <w:rFonts w:ascii="黑体" w:hAnsi="黑体" w:eastAsia="黑体" w:cs="黑体"/>
          <w:sz w:val="32"/>
          <w:szCs w:val="32"/>
          <w:highlight w:val="none"/>
          <w:u w:val="none"/>
        </w:rPr>
      </w:pPr>
      <w:r>
        <w:rPr>
          <w:rFonts w:hint="eastAsia" w:ascii="黑体" w:hAnsi="黑体" w:eastAsia="黑体" w:cs="黑体"/>
          <w:sz w:val="32"/>
          <w:szCs w:val="32"/>
          <w:highlight w:val="none"/>
          <w:u w:val="none"/>
        </w:rPr>
        <w:t>第三部分名词解释</w:t>
      </w:r>
    </w:p>
    <w:p>
      <w:pPr>
        <w:pStyle w:val="10"/>
        <w:spacing w:after="0" w:line="600" w:lineRule="exact"/>
        <w:rPr>
          <w:rFonts w:ascii="黑体" w:hAnsi="黑体" w:eastAsia="黑体" w:cs="黑体"/>
          <w:sz w:val="32"/>
          <w:szCs w:val="32"/>
          <w:highlight w:val="none"/>
          <w:u w:val="none"/>
        </w:rPr>
      </w:pPr>
      <w:r>
        <w:rPr>
          <w:rFonts w:hint="eastAsia" w:ascii="黑体" w:hAnsi="黑体" w:eastAsia="黑体" w:cs="黑体"/>
          <w:sz w:val="32"/>
          <w:szCs w:val="32"/>
          <w:highlight w:val="none"/>
          <w:u w:val="none"/>
        </w:rPr>
        <w:t>第四部分预算公开联系方式及信息反馈渠道</w:t>
      </w:r>
    </w:p>
    <w:p>
      <w:pPr>
        <w:pStyle w:val="10"/>
        <w:spacing w:after="0" w:line="600" w:lineRule="exact"/>
        <w:rPr>
          <w:rFonts w:ascii="黑体" w:hAnsi="黑体" w:eastAsia="黑体" w:cs="黑体"/>
          <w:sz w:val="32"/>
          <w:szCs w:val="32"/>
          <w:highlight w:val="none"/>
          <w:u w:val="none"/>
        </w:rPr>
      </w:pPr>
      <w:r>
        <w:rPr>
          <w:rFonts w:hint="eastAsia" w:ascii="黑体" w:hAnsi="黑体" w:eastAsia="黑体" w:cs="黑体"/>
          <w:sz w:val="32"/>
          <w:szCs w:val="32"/>
          <w:highlight w:val="none"/>
          <w:u w:val="none"/>
        </w:rPr>
        <w:t>第五部分</w:t>
      </w:r>
      <w:r>
        <w:rPr>
          <w:rFonts w:hint="eastAsia" w:ascii="黑体" w:hAnsi="黑体" w:eastAsia="黑体" w:cs="黑体"/>
          <w:sz w:val="32"/>
          <w:szCs w:val="32"/>
          <w:highlight w:val="none"/>
          <w:u w:val="none"/>
          <w:lang w:val="en-US" w:eastAsia="zh-CN"/>
        </w:rPr>
        <w:t>2023</w:t>
      </w:r>
      <w:r>
        <w:rPr>
          <w:rFonts w:hint="eastAsia" w:ascii="黑体" w:hAnsi="黑体" w:eastAsia="黑体" w:cs="黑体"/>
          <w:sz w:val="32"/>
          <w:szCs w:val="32"/>
          <w:highlight w:val="none"/>
          <w:u w:val="none"/>
        </w:rPr>
        <w:t>年度单位预算表</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一、收支总表</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二、收入总表</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w w:val="95"/>
          <w:sz w:val="32"/>
          <w:szCs w:val="32"/>
          <w:highlight w:val="none"/>
          <w:u w:val="none"/>
        </w:rPr>
        <w:t>三、支出总表</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w w:val="95"/>
          <w:sz w:val="32"/>
          <w:szCs w:val="32"/>
          <w:highlight w:val="none"/>
          <w:u w:val="none"/>
        </w:rPr>
        <w:t>四、财政拨款收支总表</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w w:val="95"/>
          <w:sz w:val="32"/>
          <w:szCs w:val="32"/>
          <w:highlight w:val="none"/>
          <w:u w:val="none"/>
        </w:rPr>
        <w:t>五、一般公共预算支出表</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w w:val="95"/>
          <w:sz w:val="32"/>
          <w:szCs w:val="32"/>
          <w:highlight w:val="none"/>
          <w:u w:val="none"/>
        </w:rPr>
        <w:t>六、一般公共预算基本支出表</w:t>
      </w:r>
    </w:p>
    <w:p>
      <w:pPr>
        <w:pStyle w:val="10"/>
        <w:spacing w:after="0" w:line="600" w:lineRule="exact"/>
        <w:rPr>
          <w:rFonts w:hint="eastAsia" w:ascii="仿宋" w:hAnsi="仿宋" w:eastAsia="仿宋" w:cs="仿宋"/>
          <w:spacing w:val="-16"/>
          <w:w w:val="95"/>
          <w:sz w:val="32"/>
          <w:szCs w:val="32"/>
          <w:highlight w:val="none"/>
          <w:u w:val="none"/>
        </w:rPr>
      </w:pPr>
      <w:r>
        <w:rPr>
          <w:rFonts w:hint="eastAsia" w:ascii="仿宋" w:hAnsi="仿宋" w:eastAsia="仿宋" w:cs="仿宋"/>
          <w:spacing w:val="-17"/>
          <w:w w:val="95"/>
          <w:sz w:val="32"/>
          <w:szCs w:val="32"/>
          <w:highlight w:val="none"/>
          <w:u w:val="none"/>
        </w:rPr>
        <w:t>七、一般公共预算</w:t>
      </w:r>
      <w:r>
        <w:rPr>
          <w:rFonts w:hint="eastAsia" w:ascii="仿宋" w:hAnsi="仿宋" w:eastAsia="仿宋" w:cs="仿宋"/>
          <w:spacing w:val="-8"/>
          <w:w w:val="95"/>
          <w:sz w:val="32"/>
          <w:szCs w:val="32"/>
          <w:highlight w:val="none"/>
          <w:u w:val="none"/>
        </w:rPr>
        <w:t>“</w:t>
      </w:r>
      <w:r>
        <w:rPr>
          <w:rFonts w:hint="eastAsia" w:ascii="仿宋" w:hAnsi="仿宋" w:eastAsia="仿宋" w:cs="仿宋"/>
          <w:spacing w:val="-15"/>
          <w:w w:val="95"/>
          <w:sz w:val="32"/>
          <w:szCs w:val="32"/>
          <w:highlight w:val="none"/>
          <w:u w:val="none"/>
        </w:rPr>
        <w:t>三公</w:t>
      </w:r>
      <w:r>
        <w:rPr>
          <w:rFonts w:hint="eastAsia" w:ascii="仿宋" w:hAnsi="仿宋" w:eastAsia="仿宋" w:cs="仿宋"/>
          <w:spacing w:val="-10"/>
          <w:w w:val="95"/>
          <w:sz w:val="32"/>
          <w:szCs w:val="32"/>
          <w:highlight w:val="none"/>
          <w:u w:val="none"/>
        </w:rPr>
        <w:t>”</w:t>
      </w:r>
      <w:r>
        <w:rPr>
          <w:rFonts w:hint="eastAsia" w:ascii="仿宋" w:hAnsi="仿宋" w:eastAsia="仿宋" w:cs="仿宋"/>
          <w:spacing w:val="-16"/>
          <w:w w:val="95"/>
          <w:sz w:val="32"/>
          <w:szCs w:val="32"/>
          <w:highlight w:val="none"/>
          <w:u w:val="none"/>
        </w:rPr>
        <w:t>经费支出表</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spacing w:val="-16"/>
          <w:w w:val="95"/>
          <w:sz w:val="32"/>
          <w:szCs w:val="32"/>
          <w:highlight w:val="none"/>
          <w:u w:val="none"/>
        </w:rPr>
        <w:t>八、政府性基金预算支出表</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九、国有资本经营预算支出表</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十、项目支出表</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十一、项目绩效目标表</w:t>
      </w:r>
    </w:p>
    <w:p>
      <w:pPr>
        <w:pStyle w:val="10"/>
        <w:spacing w:after="0" w:line="600" w:lineRule="exact"/>
        <w:rPr>
          <w:rFonts w:hint="eastAsia" w:ascii="仿宋" w:hAnsi="仿宋" w:eastAsia="仿宋" w:cs="仿宋"/>
          <w:sz w:val="32"/>
          <w:szCs w:val="32"/>
          <w:highlight w:val="none"/>
          <w:u w:val="none"/>
        </w:rPr>
      </w:pPr>
      <w:r>
        <w:rPr>
          <w:rFonts w:hint="eastAsia" w:ascii="仿宋" w:hAnsi="仿宋" w:eastAsia="仿宋" w:cs="仿宋"/>
          <w:w w:val="95"/>
          <w:sz w:val="32"/>
          <w:szCs w:val="32"/>
          <w:highlight w:val="none"/>
          <w:u w:val="none"/>
        </w:rPr>
        <w:t>十二、政府采购预算表</w:t>
      </w:r>
    </w:p>
    <w:p>
      <w:pPr>
        <w:pStyle w:val="2"/>
        <w:rPr>
          <w:rFonts w:hint="default"/>
          <w:highlight w:val="none"/>
          <w:u w:val="none"/>
        </w:rPr>
      </w:pPr>
    </w:p>
    <w:p>
      <w:pPr>
        <w:pStyle w:val="2"/>
        <w:rPr>
          <w:rFonts w:hint="default"/>
          <w:highlight w:val="none"/>
          <w:u w:val="none"/>
        </w:rPr>
        <w:sectPr>
          <w:headerReference r:id="rId3" w:type="default"/>
          <w:footerReference r:id="rId4" w:type="default"/>
          <w:pgSz w:w="11910" w:h="16840"/>
          <w:pgMar w:top="1474" w:right="1474" w:bottom="1474" w:left="1587" w:header="720" w:footer="720" w:gutter="0"/>
          <w:pgNumType w:fmt="numberInDash"/>
          <w:cols w:space="0" w:num="1"/>
          <w:rtlGutter w:val="0"/>
        </w:sectPr>
      </w:pPr>
    </w:p>
    <w:p>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u w:val="none"/>
        </w:rPr>
      </w:pPr>
      <w:bookmarkStart w:id="0" w:name="_Toc30742"/>
      <w:r>
        <w:rPr>
          <w:rFonts w:hint="eastAsia" w:ascii="方正小标宋简体" w:hAnsi="方正小标宋简体" w:eastAsia="方正小标宋简体" w:cs="方正小标宋简体"/>
          <w:b w:val="0"/>
          <w:bCs w:val="0"/>
          <w:sz w:val="36"/>
          <w:szCs w:val="36"/>
          <w:highlight w:val="none"/>
          <w:u w:val="none"/>
        </w:rPr>
        <w:t>第一部分单位概况</w:t>
      </w:r>
      <w:bookmarkEnd w:id="0"/>
    </w:p>
    <w:p>
      <w:pPr>
        <w:spacing w:line="600" w:lineRule="exact"/>
        <w:rPr>
          <w:rFonts w:ascii="方正小标宋简体" w:hAnsi="方正小标宋简体" w:eastAsia="方正小标宋简体" w:cs="方正小标宋简体"/>
          <w:sz w:val="36"/>
          <w:szCs w:val="36"/>
          <w:highlight w:val="none"/>
          <w:u w:val="none"/>
        </w:rPr>
      </w:pPr>
    </w:p>
    <w:p>
      <w:pPr>
        <w:pStyle w:val="4"/>
        <w:numPr>
          <w:ilvl w:val="0"/>
          <w:numId w:val="1"/>
        </w:numPr>
        <w:bidi w:val="0"/>
      </w:pPr>
      <w:r>
        <w:rPr>
          <w:rFonts w:hint="eastAsia"/>
        </w:rPr>
        <w:t>主要职能职责</w:t>
      </w:r>
    </w:p>
    <w:p>
      <w:pPr>
        <w:keepNext w:val="0"/>
        <w:keepLines w:val="0"/>
        <w:pageBreakBefore w:val="0"/>
        <w:widowControl w:val="0"/>
        <w:kinsoku/>
        <w:wordWrap/>
        <w:overflowPunct/>
        <w:topLinePunct w:val="0"/>
        <w:autoSpaceDE/>
        <w:autoSpaceDN/>
        <w:bidi w:val="0"/>
        <w:adjustRightInd/>
        <w:snapToGrid w:val="0"/>
        <w:spacing w:before="0" w:after="0" w:line="360" w:lineRule="auto"/>
        <w:ind w:firstLine="640" w:firstLineChars="200"/>
        <w:textAlignment w:val="auto"/>
        <w:rPr>
          <w:rFonts w:hint="eastAsia" w:ascii="仿宋" w:hAnsi="仿宋" w:eastAsia="仿宋" w:cs="仿宋"/>
          <w:sz w:val="32"/>
          <w:szCs w:val="32"/>
          <w:u w:val="none"/>
        </w:rPr>
      </w:pPr>
      <w:r>
        <w:rPr>
          <w:rFonts w:hint="eastAsia" w:ascii="仿宋" w:hAnsi="仿宋" w:eastAsia="仿宋" w:cs="仿宋"/>
          <w:sz w:val="32"/>
          <w:szCs w:val="32"/>
          <w:u w:val="none"/>
        </w:rPr>
        <w:t>（一）单位职能</w:t>
      </w:r>
    </w:p>
    <w:p>
      <w:pPr>
        <w:keepNext w:val="0"/>
        <w:keepLines w:val="0"/>
        <w:pageBreakBefore w:val="0"/>
        <w:widowControl w:val="0"/>
        <w:kinsoku/>
        <w:wordWrap/>
        <w:overflowPunct/>
        <w:topLinePunct w:val="0"/>
        <w:autoSpaceDE/>
        <w:autoSpaceDN/>
        <w:bidi w:val="0"/>
        <w:adjustRightInd/>
        <w:snapToGrid w:val="0"/>
        <w:spacing w:before="0" w:after="0" w:line="360" w:lineRule="auto"/>
        <w:ind w:firstLine="640" w:firstLineChars="200"/>
        <w:textAlignment w:val="auto"/>
        <w:rPr>
          <w:rFonts w:hint="eastAsia" w:ascii="仿宋" w:hAnsi="仿宋" w:eastAsia="仿宋" w:cs="仿宋"/>
          <w:sz w:val="32"/>
          <w:szCs w:val="32"/>
          <w:u w:val="none"/>
        </w:rPr>
      </w:pPr>
      <w:r>
        <w:rPr>
          <w:rFonts w:hint="eastAsia" w:ascii="仿宋" w:hAnsi="仿宋" w:eastAsia="仿宋" w:cs="仿宋"/>
          <w:sz w:val="32"/>
          <w:szCs w:val="32"/>
          <w:u w:val="none"/>
        </w:rPr>
        <w:t>内蒙古自治区人民医院是纳入内蒙古自治区卫生健康委员会预算范围内的预算单位，是集医疗、科研、教学、预防、保健、急救为一体的全区规模最大的“三级甲等”综合性医院。</w:t>
      </w:r>
    </w:p>
    <w:p>
      <w:pPr>
        <w:keepNext w:val="0"/>
        <w:keepLines w:val="0"/>
        <w:pageBreakBefore w:val="0"/>
        <w:widowControl w:val="0"/>
        <w:kinsoku/>
        <w:wordWrap/>
        <w:overflowPunct/>
        <w:topLinePunct w:val="0"/>
        <w:autoSpaceDE/>
        <w:autoSpaceDN/>
        <w:bidi w:val="0"/>
        <w:adjustRightInd/>
        <w:snapToGrid w:val="0"/>
        <w:spacing w:before="0" w:after="0" w:line="360" w:lineRule="auto"/>
        <w:ind w:firstLine="640" w:firstLineChars="200"/>
        <w:textAlignment w:val="auto"/>
        <w:rPr>
          <w:rFonts w:hint="eastAsia" w:ascii="仿宋" w:hAnsi="仿宋" w:eastAsia="仿宋" w:cs="仿宋"/>
          <w:sz w:val="32"/>
          <w:szCs w:val="32"/>
          <w:u w:val="none"/>
        </w:rPr>
      </w:pPr>
      <w:r>
        <w:rPr>
          <w:rFonts w:hint="eastAsia" w:ascii="仿宋" w:hAnsi="仿宋" w:eastAsia="仿宋" w:cs="仿宋"/>
          <w:sz w:val="32"/>
          <w:szCs w:val="32"/>
          <w:u w:val="none"/>
        </w:rPr>
        <w:t>（二）单位主要职责</w:t>
      </w:r>
    </w:p>
    <w:p>
      <w:pPr>
        <w:keepNext w:val="0"/>
        <w:keepLines w:val="0"/>
        <w:pageBreakBefore w:val="0"/>
        <w:widowControl w:val="0"/>
        <w:kinsoku/>
        <w:wordWrap/>
        <w:overflowPunct/>
        <w:topLinePunct w:val="0"/>
        <w:autoSpaceDE/>
        <w:autoSpaceDN/>
        <w:bidi w:val="0"/>
        <w:adjustRightInd/>
        <w:snapToGrid w:val="0"/>
        <w:spacing w:before="0" w:after="0" w:line="360" w:lineRule="auto"/>
        <w:ind w:firstLine="640" w:firstLineChars="200"/>
        <w:textAlignment w:val="auto"/>
        <w:rPr>
          <w:rFonts w:hint="eastAsia" w:ascii="仿宋" w:hAnsi="仿宋" w:eastAsia="仿宋" w:cs="仿宋"/>
          <w:sz w:val="32"/>
          <w:szCs w:val="32"/>
          <w:u w:val="none"/>
        </w:rPr>
      </w:pPr>
      <w:r>
        <w:rPr>
          <w:rFonts w:hint="eastAsia" w:ascii="仿宋" w:hAnsi="仿宋" w:eastAsia="仿宋" w:cs="仿宋"/>
          <w:sz w:val="32"/>
          <w:szCs w:val="32"/>
          <w:u w:val="none"/>
        </w:rPr>
        <w:t>内蒙古自治区人民医院贯彻落实新时期</w:t>
      </w:r>
      <w:r>
        <w:rPr>
          <w:rFonts w:hint="eastAsia" w:ascii="仿宋" w:hAnsi="仿宋" w:eastAsia="仿宋" w:cs="仿宋"/>
          <w:sz w:val="32"/>
          <w:szCs w:val="32"/>
          <w:u w:val="none"/>
          <w:lang w:val="en-US" w:eastAsia="zh-CN"/>
        </w:rPr>
        <w:t>我</w:t>
      </w:r>
      <w:r>
        <w:rPr>
          <w:rFonts w:hint="eastAsia" w:ascii="仿宋" w:hAnsi="仿宋" w:eastAsia="仿宋" w:cs="仿宋"/>
          <w:sz w:val="32"/>
          <w:szCs w:val="32"/>
          <w:u w:val="none"/>
        </w:rPr>
        <w:t>国卫生与健康工作方针，坚持以人民健康为中心，</w:t>
      </w:r>
      <w:r>
        <w:rPr>
          <w:rFonts w:hint="eastAsia" w:ascii="仿宋" w:hAnsi="仿宋" w:eastAsia="仿宋" w:cs="仿宋"/>
          <w:sz w:val="32"/>
          <w:szCs w:val="32"/>
          <w:u w:val="none"/>
          <w:lang w:val="en-US" w:eastAsia="zh-CN"/>
        </w:rPr>
        <w:t>以</w:t>
      </w:r>
      <w:r>
        <w:rPr>
          <w:rFonts w:hint="eastAsia" w:ascii="仿宋" w:hAnsi="仿宋" w:eastAsia="仿宋" w:cs="仿宋"/>
          <w:sz w:val="32"/>
          <w:szCs w:val="32"/>
          <w:u w:val="none"/>
        </w:rPr>
        <w:t>救死扶伤</w:t>
      </w:r>
      <w:r>
        <w:rPr>
          <w:rFonts w:hint="eastAsia" w:ascii="仿宋" w:hAnsi="仿宋" w:eastAsia="仿宋" w:cs="仿宋"/>
          <w:sz w:val="32"/>
          <w:szCs w:val="32"/>
          <w:u w:val="none"/>
          <w:lang w:eastAsia="zh-CN"/>
        </w:rPr>
        <w:t>、</w:t>
      </w:r>
      <w:r>
        <w:rPr>
          <w:rFonts w:hint="eastAsia" w:ascii="仿宋" w:hAnsi="仿宋" w:eastAsia="仿宋" w:cs="仿宋"/>
          <w:sz w:val="32"/>
          <w:szCs w:val="32"/>
          <w:u w:val="none"/>
          <w:lang w:val="en-US" w:eastAsia="zh-CN"/>
        </w:rPr>
        <w:t>防病治病、</w:t>
      </w:r>
      <w:r>
        <w:rPr>
          <w:rFonts w:hint="eastAsia" w:ascii="仿宋" w:hAnsi="仿宋" w:eastAsia="仿宋" w:cs="仿宋"/>
          <w:sz w:val="32"/>
          <w:szCs w:val="32"/>
          <w:u w:val="none"/>
        </w:rPr>
        <w:t>提高人民健康水平和促进医学事业发展为宗旨。</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sz w:val="32"/>
          <w:szCs w:val="32"/>
          <w:u w:val="none"/>
        </w:rPr>
      </w:pPr>
      <w:r>
        <w:rPr>
          <w:rFonts w:hint="eastAsia" w:ascii="仿宋" w:hAnsi="仿宋" w:eastAsia="仿宋" w:cs="仿宋"/>
          <w:sz w:val="32"/>
          <w:szCs w:val="32"/>
          <w:u w:val="none"/>
        </w:rPr>
        <w:t>1、贯彻落实新时期</w:t>
      </w:r>
      <w:r>
        <w:rPr>
          <w:rFonts w:hint="eastAsia" w:ascii="仿宋" w:hAnsi="仿宋" w:eastAsia="仿宋" w:cs="仿宋"/>
          <w:sz w:val="32"/>
          <w:szCs w:val="32"/>
          <w:u w:val="none"/>
          <w:lang w:val="en-US" w:eastAsia="zh-CN"/>
        </w:rPr>
        <w:t>我</w:t>
      </w:r>
      <w:r>
        <w:rPr>
          <w:rFonts w:hint="eastAsia" w:ascii="仿宋" w:hAnsi="仿宋" w:eastAsia="仿宋" w:cs="仿宋"/>
          <w:sz w:val="32"/>
          <w:szCs w:val="32"/>
          <w:u w:val="none"/>
        </w:rPr>
        <w:t>国卫生与健康工作方针，</w:t>
      </w:r>
      <w:r>
        <w:rPr>
          <w:rFonts w:hint="eastAsia" w:ascii="仿宋" w:hAnsi="仿宋" w:eastAsia="仿宋" w:cs="仿宋"/>
          <w:sz w:val="32"/>
          <w:szCs w:val="32"/>
          <w:u w:val="none"/>
          <w:lang w:val="en-US" w:eastAsia="zh-CN"/>
        </w:rPr>
        <w:t>把铸牢中华民族共同体意识作为工作主线，</w:t>
      </w:r>
      <w:r>
        <w:rPr>
          <w:rFonts w:hint="eastAsia" w:ascii="仿宋" w:hAnsi="仿宋" w:eastAsia="仿宋" w:cs="仿宋"/>
          <w:sz w:val="32"/>
          <w:szCs w:val="32"/>
          <w:u w:val="none"/>
        </w:rPr>
        <w:t>坚持公益性，保障人民群众健康，推动医院各方面</w:t>
      </w:r>
      <w:r>
        <w:rPr>
          <w:rFonts w:hint="eastAsia" w:ascii="仿宋" w:hAnsi="仿宋" w:eastAsia="仿宋" w:cs="仿宋"/>
          <w:sz w:val="32"/>
          <w:szCs w:val="32"/>
          <w:u w:val="none"/>
          <w:lang w:val="en-US" w:eastAsia="zh-CN"/>
        </w:rPr>
        <w:t>工作</w:t>
      </w:r>
      <w:r>
        <w:rPr>
          <w:rFonts w:hint="eastAsia" w:ascii="仿宋" w:hAnsi="仿宋" w:eastAsia="仿宋" w:cs="仿宋"/>
          <w:sz w:val="32"/>
          <w:szCs w:val="32"/>
          <w:u w:val="none"/>
        </w:rPr>
        <w:t>健康发展。</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sz w:val="32"/>
          <w:szCs w:val="32"/>
          <w:u w:val="none"/>
        </w:rPr>
      </w:pPr>
      <w:r>
        <w:rPr>
          <w:rFonts w:hint="eastAsia" w:ascii="仿宋" w:hAnsi="仿宋" w:eastAsia="仿宋" w:cs="仿宋"/>
          <w:sz w:val="32"/>
          <w:szCs w:val="32"/>
          <w:u w:val="none"/>
        </w:rPr>
        <w:t>2、为人民群众提供医疗保健、疾病预防、健康教育</w:t>
      </w:r>
      <w:r>
        <w:rPr>
          <w:rFonts w:hint="eastAsia" w:ascii="仿宋" w:hAnsi="仿宋" w:eastAsia="仿宋" w:cs="仿宋"/>
          <w:sz w:val="32"/>
          <w:szCs w:val="32"/>
          <w:u w:val="none"/>
          <w:lang w:eastAsia="zh-CN"/>
        </w:rPr>
        <w:t>、</w:t>
      </w:r>
      <w:r>
        <w:rPr>
          <w:rFonts w:hint="eastAsia" w:ascii="仿宋" w:hAnsi="仿宋" w:eastAsia="仿宋" w:cs="仿宋"/>
          <w:sz w:val="32"/>
          <w:szCs w:val="32"/>
          <w:u w:val="none"/>
          <w:lang w:val="en-US" w:eastAsia="zh-CN"/>
        </w:rPr>
        <w:t>健康科普</w:t>
      </w:r>
      <w:r>
        <w:rPr>
          <w:rFonts w:hint="eastAsia" w:ascii="仿宋" w:hAnsi="仿宋" w:eastAsia="仿宋" w:cs="仿宋"/>
          <w:sz w:val="32"/>
          <w:szCs w:val="32"/>
          <w:u w:val="none"/>
        </w:rPr>
        <w:t>等医疗和一定</w:t>
      </w:r>
      <w:r>
        <w:rPr>
          <w:rFonts w:hint="eastAsia" w:ascii="仿宋" w:hAnsi="仿宋" w:eastAsia="仿宋" w:cs="仿宋"/>
          <w:sz w:val="32"/>
          <w:szCs w:val="32"/>
          <w:u w:val="none"/>
          <w:lang w:val="en-US" w:eastAsia="zh-CN"/>
        </w:rPr>
        <w:t>的</w:t>
      </w:r>
      <w:r>
        <w:rPr>
          <w:rFonts w:hint="eastAsia" w:ascii="仿宋" w:hAnsi="仿宋" w:eastAsia="仿宋" w:cs="仿宋"/>
          <w:sz w:val="32"/>
          <w:szCs w:val="32"/>
          <w:u w:val="none"/>
        </w:rPr>
        <w:t>公共卫生服务。</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sz w:val="32"/>
          <w:szCs w:val="32"/>
          <w:u w:val="none"/>
        </w:rPr>
      </w:pPr>
      <w:r>
        <w:rPr>
          <w:rFonts w:hint="eastAsia" w:ascii="仿宋" w:hAnsi="仿宋" w:eastAsia="仿宋" w:cs="仿宋"/>
          <w:sz w:val="32"/>
          <w:szCs w:val="32"/>
          <w:u w:val="none"/>
        </w:rPr>
        <w:t>3、承担</w:t>
      </w:r>
      <w:r>
        <w:rPr>
          <w:rFonts w:hint="eastAsia" w:ascii="仿宋" w:hAnsi="仿宋" w:eastAsia="仿宋" w:cs="仿宋"/>
          <w:sz w:val="32"/>
          <w:szCs w:val="32"/>
          <w:u w:val="none"/>
          <w:lang w:val="en-US" w:eastAsia="zh-CN"/>
        </w:rPr>
        <w:t>住院医师规范化培训、</w:t>
      </w:r>
      <w:r>
        <w:rPr>
          <w:rFonts w:hint="eastAsia" w:ascii="仿宋" w:hAnsi="仿宋" w:eastAsia="仿宋" w:cs="仿宋"/>
          <w:sz w:val="32"/>
          <w:szCs w:val="32"/>
          <w:u w:val="none"/>
        </w:rPr>
        <w:t>专科医师规范化培训</w:t>
      </w:r>
      <w:r>
        <w:rPr>
          <w:rFonts w:hint="eastAsia" w:ascii="仿宋" w:hAnsi="仿宋" w:eastAsia="仿宋" w:cs="仿宋"/>
          <w:sz w:val="32"/>
          <w:szCs w:val="32"/>
          <w:u w:val="none"/>
          <w:lang w:val="en-US" w:eastAsia="zh-CN"/>
        </w:rPr>
        <w:t>等</w:t>
      </w:r>
      <w:r>
        <w:rPr>
          <w:rFonts w:hint="eastAsia" w:ascii="仿宋" w:hAnsi="仿宋" w:eastAsia="仿宋" w:cs="仿宋"/>
          <w:sz w:val="32"/>
          <w:szCs w:val="32"/>
          <w:u w:val="none"/>
        </w:rPr>
        <w:t>毕业后</w:t>
      </w:r>
      <w:r>
        <w:rPr>
          <w:rFonts w:hint="eastAsia" w:ascii="仿宋" w:hAnsi="仿宋" w:eastAsia="仿宋" w:cs="仿宋"/>
          <w:sz w:val="32"/>
          <w:szCs w:val="32"/>
          <w:u w:val="none"/>
          <w:lang w:val="en-US" w:eastAsia="zh-CN"/>
        </w:rPr>
        <w:t>医学</w:t>
      </w:r>
      <w:r>
        <w:rPr>
          <w:rFonts w:hint="eastAsia" w:ascii="仿宋" w:hAnsi="仿宋" w:eastAsia="仿宋" w:cs="仿宋"/>
          <w:sz w:val="32"/>
          <w:szCs w:val="32"/>
          <w:u w:val="none"/>
        </w:rPr>
        <w:t>教育</w:t>
      </w:r>
      <w:r>
        <w:rPr>
          <w:rFonts w:hint="eastAsia" w:ascii="仿宋" w:hAnsi="仿宋" w:eastAsia="仿宋" w:cs="仿宋"/>
          <w:sz w:val="32"/>
          <w:szCs w:val="32"/>
          <w:u w:val="none"/>
          <w:lang w:val="en-US" w:eastAsia="zh-CN"/>
        </w:rPr>
        <w:t>和院校医学教育、继续医学教育</w:t>
      </w:r>
      <w:r>
        <w:rPr>
          <w:rFonts w:hint="eastAsia" w:ascii="仿宋" w:hAnsi="仿宋" w:eastAsia="仿宋" w:cs="仿宋"/>
          <w:sz w:val="32"/>
          <w:szCs w:val="32"/>
          <w:u w:val="none"/>
        </w:rPr>
        <w:t>，</w:t>
      </w:r>
      <w:r>
        <w:rPr>
          <w:rFonts w:hint="eastAsia" w:ascii="仿宋" w:hAnsi="仿宋" w:eastAsia="仿宋" w:cs="仿宋"/>
          <w:sz w:val="32"/>
          <w:szCs w:val="32"/>
          <w:u w:val="none"/>
          <w:lang w:val="en-US" w:eastAsia="zh-CN"/>
        </w:rPr>
        <w:t>不断提升医学人才能力素质和工作水平</w:t>
      </w:r>
      <w:r>
        <w:rPr>
          <w:rFonts w:hint="eastAsia" w:ascii="仿宋" w:hAnsi="仿宋" w:eastAsia="仿宋" w:cs="仿宋"/>
          <w:sz w:val="32"/>
          <w:szCs w:val="32"/>
          <w:u w:val="none"/>
        </w:rPr>
        <w:t>。</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sz w:val="32"/>
          <w:szCs w:val="32"/>
          <w:u w:val="none"/>
        </w:rPr>
      </w:pPr>
      <w:r>
        <w:rPr>
          <w:rFonts w:hint="eastAsia" w:ascii="仿宋" w:hAnsi="仿宋" w:eastAsia="仿宋" w:cs="仿宋"/>
          <w:sz w:val="32"/>
          <w:szCs w:val="32"/>
          <w:u w:val="none"/>
        </w:rPr>
        <w:t>4、开展临床医学和基础医学研究，推动医学科技成果转化。</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sz w:val="32"/>
          <w:szCs w:val="32"/>
          <w:u w:val="none"/>
        </w:rPr>
      </w:pPr>
      <w:r>
        <w:rPr>
          <w:rFonts w:hint="eastAsia" w:ascii="仿宋" w:hAnsi="仿宋" w:eastAsia="仿宋" w:cs="仿宋"/>
          <w:sz w:val="32"/>
          <w:szCs w:val="32"/>
          <w:u w:val="none"/>
        </w:rPr>
        <w:t>5、</w:t>
      </w:r>
      <w:r>
        <w:rPr>
          <w:rFonts w:hint="eastAsia" w:ascii="仿宋" w:hAnsi="仿宋" w:eastAsia="仿宋" w:cs="仿宋"/>
          <w:sz w:val="32"/>
          <w:szCs w:val="32"/>
          <w:u w:val="none"/>
          <w:lang w:val="en-US" w:eastAsia="zh-CN"/>
        </w:rPr>
        <w:t>按照举办主体和有关部门批准的范围</w:t>
      </w:r>
      <w:r>
        <w:rPr>
          <w:rFonts w:hint="eastAsia" w:ascii="仿宋" w:hAnsi="仿宋" w:eastAsia="仿宋" w:cs="仿宋"/>
          <w:sz w:val="32"/>
          <w:szCs w:val="32"/>
          <w:u w:val="none"/>
        </w:rPr>
        <w:t>开展对外技术交流和国际合作。</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sz w:val="32"/>
          <w:szCs w:val="32"/>
          <w:u w:val="none"/>
        </w:rPr>
      </w:pPr>
      <w:r>
        <w:rPr>
          <w:rFonts w:hint="eastAsia" w:ascii="仿宋" w:hAnsi="仿宋" w:eastAsia="仿宋" w:cs="仿宋"/>
          <w:sz w:val="32"/>
          <w:szCs w:val="32"/>
          <w:u w:val="none"/>
        </w:rPr>
        <w:t>6、</w:t>
      </w:r>
      <w:r>
        <w:rPr>
          <w:rFonts w:hint="eastAsia" w:ascii="仿宋" w:hAnsi="仿宋" w:eastAsia="仿宋" w:cs="仿宋"/>
          <w:sz w:val="32"/>
          <w:szCs w:val="32"/>
          <w:u w:val="none"/>
          <w:lang w:val="en-US" w:eastAsia="zh-CN"/>
        </w:rPr>
        <w:t>按照举办主体和有关部门批准的范围开展</w:t>
      </w:r>
      <w:r>
        <w:rPr>
          <w:rFonts w:hint="eastAsia" w:ascii="仿宋" w:hAnsi="仿宋" w:eastAsia="仿宋" w:cs="仿宋"/>
          <w:sz w:val="32"/>
          <w:szCs w:val="32"/>
          <w:u w:val="none"/>
        </w:rPr>
        <w:t>涉外医疗服务</w:t>
      </w:r>
      <w:r>
        <w:rPr>
          <w:rFonts w:hint="eastAsia" w:ascii="仿宋" w:hAnsi="仿宋" w:eastAsia="仿宋" w:cs="仿宋"/>
          <w:sz w:val="32"/>
          <w:szCs w:val="32"/>
          <w:u w:val="none"/>
          <w:lang w:eastAsia="zh-CN"/>
        </w:rPr>
        <w:t>，</w:t>
      </w:r>
      <w:r>
        <w:rPr>
          <w:rFonts w:hint="eastAsia" w:ascii="仿宋" w:hAnsi="仿宋" w:eastAsia="仿宋" w:cs="仿宋"/>
          <w:sz w:val="32"/>
          <w:szCs w:val="32"/>
          <w:u w:val="none"/>
          <w:lang w:val="en-US" w:eastAsia="zh-CN"/>
        </w:rPr>
        <w:t>承担</w:t>
      </w:r>
      <w:r>
        <w:rPr>
          <w:rFonts w:hint="eastAsia" w:ascii="仿宋" w:hAnsi="仿宋" w:eastAsia="仿宋" w:cs="仿宋"/>
          <w:sz w:val="32"/>
          <w:szCs w:val="32"/>
          <w:u w:val="none"/>
        </w:rPr>
        <w:t>重大活动医疗保障任务，承担突发公共事件的医疗卫生救助。</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sz w:val="32"/>
          <w:szCs w:val="32"/>
          <w:u w:val="none"/>
        </w:rPr>
      </w:pPr>
      <w:r>
        <w:rPr>
          <w:rFonts w:hint="eastAsia" w:ascii="仿宋" w:hAnsi="仿宋" w:eastAsia="仿宋" w:cs="仿宋"/>
          <w:sz w:val="32"/>
          <w:szCs w:val="32"/>
          <w:u w:val="none"/>
        </w:rPr>
        <w:t>7、根据规划和需求，</w:t>
      </w:r>
      <w:r>
        <w:rPr>
          <w:rFonts w:hint="eastAsia" w:ascii="仿宋" w:hAnsi="仿宋" w:eastAsia="仿宋" w:cs="仿宋"/>
          <w:sz w:val="32"/>
          <w:szCs w:val="32"/>
          <w:u w:val="none"/>
          <w:lang w:val="en-US" w:eastAsia="zh-CN"/>
        </w:rPr>
        <w:t>经举办主体和有关部门批准，</w:t>
      </w:r>
      <w:r>
        <w:rPr>
          <w:rFonts w:hint="eastAsia" w:ascii="仿宋" w:hAnsi="仿宋" w:eastAsia="仿宋" w:cs="仿宋"/>
          <w:sz w:val="32"/>
          <w:szCs w:val="32"/>
          <w:u w:val="none"/>
        </w:rPr>
        <w:t>可与社会力量合作举办新的非营利性医疗机构或在人才、管理、服务、技术、品牌等方面建立</w:t>
      </w:r>
      <w:r>
        <w:rPr>
          <w:rFonts w:hint="eastAsia" w:ascii="仿宋" w:hAnsi="仿宋" w:eastAsia="仿宋" w:cs="仿宋"/>
          <w:sz w:val="32"/>
          <w:szCs w:val="32"/>
          <w:u w:val="none"/>
          <w:lang w:val="en-US" w:eastAsia="zh-CN"/>
        </w:rPr>
        <w:t>协议</w:t>
      </w:r>
      <w:r>
        <w:rPr>
          <w:rFonts w:hint="eastAsia" w:ascii="仿宋" w:hAnsi="仿宋" w:eastAsia="仿宋" w:cs="仿宋"/>
          <w:sz w:val="32"/>
          <w:szCs w:val="32"/>
          <w:u w:val="none"/>
        </w:rPr>
        <w:t>合作关系。</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sz w:val="32"/>
          <w:szCs w:val="32"/>
          <w:u w:val="none"/>
        </w:rPr>
      </w:pPr>
      <w:r>
        <w:rPr>
          <w:rFonts w:hint="eastAsia" w:ascii="仿宋" w:hAnsi="仿宋" w:eastAsia="仿宋" w:cs="仿宋"/>
          <w:sz w:val="32"/>
          <w:szCs w:val="32"/>
          <w:u w:val="none"/>
        </w:rPr>
        <w:t>8、</w:t>
      </w:r>
      <w:r>
        <w:rPr>
          <w:rFonts w:hint="eastAsia" w:ascii="仿宋" w:hAnsi="仿宋" w:eastAsia="仿宋" w:cs="仿宋"/>
          <w:sz w:val="32"/>
          <w:szCs w:val="32"/>
          <w:u w:val="none"/>
          <w:lang w:val="en-US" w:eastAsia="zh-CN"/>
        </w:rPr>
        <w:t>经举办主体和有关部门批准，</w:t>
      </w:r>
      <w:r>
        <w:rPr>
          <w:rFonts w:hint="eastAsia" w:ascii="仿宋" w:hAnsi="仿宋" w:eastAsia="仿宋" w:cs="仿宋"/>
          <w:sz w:val="32"/>
          <w:szCs w:val="32"/>
          <w:u w:val="none"/>
        </w:rPr>
        <w:t>与相关医疗机构组成医联体，推动形成基层首诊、双向转诊、急慢分治、上下联动的分级诊疗模式。</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sz w:val="32"/>
          <w:szCs w:val="32"/>
          <w:u w:val="none"/>
        </w:rPr>
      </w:pPr>
      <w:r>
        <w:rPr>
          <w:rFonts w:hint="eastAsia" w:ascii="仿宋" w:hAnsi="仿宋" w:eastAsia="仿宋" w:cs="仿宋"/>
          <w:sz w:val="32"/>
          <w:szCs w:val="32"/>
          <w:u w:val="none"/>
        </w:rPr>
        <w:t>9、开展送医下乡等</w:t>
      </w:r>
      <w:r>
        <w:rPr>
          <w:rFonts w:hint="eastAsia" w:ascii="仿宋" w:hAnsi="仿宋" w:eastAsia="仿宋" w:cs="仿宋"/>
          <w:sz w:val="32"/>
          <w:szCs w:val="32"/>
          <w:u w:val="none"/>
          <w:lang w:val="en-US" w:eastAsia="zh-CN"/>
        </w:rPr>
        <w:t>支援和志愿者服务工作</w:t>
      </w:r>
      <w:r>
        <w:rPr>
          <w:rFonts w:hint="eastAsia" w:ascii="仿宋" w:hAnsi="仿宋" w:eastAsia="仿宋" w:cs="仿宋"/>
          <w:sz w:val="32"/>
          <w:szCs w:val="32"/>
          <w:u w:val="none"/>
        </w:rPr>
        <w:t>。</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sz w:val="32"/>
          <w:szCs w:val="32"/>
          <w:u w:val="none"/>
          <w:lang w:val="en-US" w:eastAsia="zh-CN"/>
        </w:rPr>
      </w:pPr>
      <w:r>
        <w:rPr>
          <w:rFonts w:hint="eastAsia" w:ascii="仿宋" w:hAnsi="仿宋" w:eastAsia="仿宋" w:cs="仿宋"/>
          <w:sz w:val="32"/>
          <w:szCs w:val="32"/>
          <w:u w:val="none"/>
        </w:rPr>
        <w:t>10、</w:t>
      </w:r>
      <w:r>
        <w:rPr>
          <w:rFonts w:hint="eastAsia" w:ascii="仿宋" w:hAnsi="仿宋" w:eastAsia="仿宋" w:cs="仿宋"/>
          <w:sz w:val="32"/>
          <w:szCs w:val="32"/>
          <w:u w:val="none"/>
          <w:lang w:val="en-US" w:eastAsia="zh-CN"/>
        </w:rPr>
        <w:t>管理内蒙古自治区人民医院附属卫校、内蒙古自治区老年医学研究所、内蒙古医学科学院等3家所属事业单位。承担依托社会组织（呼和浩特诊疗发展促进会）成立的内蒙古医院集团牵头医院责任。</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sz w:val="32"/>
          <w:szCs w:val="32"/>
          <w:u w:val="none"/>
        </w:rPr>
      </w:pPr>
      <w:r>
        <w:rPr>
          <w:rFonts w:hint="eastAsia" w:ascii="仿宋" w:hAnsi="仿宋" w:eastAsia="仿宋" w:cs="仿宋"/>
          <w:sz w:val="32"/>
          <w:szCs w:val="32"/>
          <w:u w:val="none"/>
        </w:rPr>
        <w:t>1</w:t>
      </w:r>
      <w:r>
        <w:rPr>
          <w:rFonts w:hint="eastAsia" w:ascii="仿宋" w:hAnsi="仿宋" w:eastAsia="仿宋" w:cs="仿宋"/>
          <w:sz w:val="32"/>
          <w:szCs w:val="32"/>
          <w:u w:val="none"/>
          <w:lang w:val="en-US" w:eastAsia="zh-CN"/>
        </w:rPr>
        <w:t>1</w:t>
      </w:r>
      <w:r>
        <w:rPr>
          <w:rFonts w:hint="eastAsia" w:ascii="仿宋" w:hAnsi="仿宋" w:eastAsia="仿宋" w:cs="仿宋"/>
          <w:sz w:val="32"/>
          <w:szCs w:val="32"/>
          <w:u w:val="none"/>
        </w:rPr>
        <w:t>、承担上级党委和政府交办的其他事项。</w:t>
      </w:r>
    </w:p>
    <w:p>
      <w:pPr>
        <w:pStyle w:val="4"/>
        <w:numPr>
          <w:ilvl w:val="0"/>
          <w:numId w:val="1"/>
        </w:numPr>
        <w:bidi w:val="0"/>
      </w:pPr>
      <w:r>
        <w:rPr>
          <w:rFonts w:hint="eastAsia"/>
        </w:rPr>
        <w:t>单位机构设置及预算单位构成情况</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sz w:val="32"/>
          <w:szCs w:val="32"/>
          <w:u w:val="none"/>
          <w:lang w:eastAsia="zh-CN"/>
        </w:rPr>
      </w:pPr>
      <w:r>
        <w:rPr>
          <w:rFonts w:hint="eastAsia" w:ascii="仿宋" w:hAnsi="仿宋" w:eastAsia="仿宋" w:cs="仿宋"/>
          <w:sz w:val="32"/>
          <w:szCs w:val="32"/>
          <w:u w:val="none"/>
        </w:rPr>
        <w:t>1．根据单位职责分工，单位及下设独立预算单位共有1家</w:t>
      </w:r>
      <w:r>
        <w:rPr>
          <w:rFonts w:hint="eastAsia" w:ascii="仿宋" w:hAnsi="仿宋" w:eastAsia="仿宋" w:cs="仿宋"/>
          <w:sz w:val="32"/>
          <w:szCs w:val="32"/>
          <w:u w:val="none"/>
          <w:lang w:eastAsia="zh-CN"/>
        </w:rPr>
        <w:t>，</w:t>
      </w:r>
      <w:r>
        <w:rPr>
          <w:rFonts w:hint="eastAsia" w:ascii="仿宋" w:hAnsi="仿宋" w:eastAsia="仿宋" w:cs="仿宋"/>
          <w:sz w:val="32"/>
          <w:szCs w:val="32"/>
          <w:u w:val="none"/>
          <w:lang w:val="en-US" w:eastAsia="zh-CN"/>
        </w:rPr>
        <w:t>即内蒙古自治区人民医院</w:t>
      </w:r>
      <w:r>
        <w:rPr>
          <w:rFonts w:hint="eastAsia" w:ascii="仿宋" w:hAnsi="仿宋" w:eastAsia="仿宋" w:cs="仿宋"/>
          <w:sz w:val="32"/>
          <w:szCs w:val="32"/>
          <w:u w:val="none"/>
        </w:rPr>
        <w:t>。本单位无下属单位</w:t>
      </w:r>
      <w:r>
        <w:rPr>
          <w:rFonts w:hint="eastAsia" w:ascii="仿宋" w:hAnsi="仿宋" w:eastAsia="仿宋" w:cs="仿宋"/>
          <w:sz w:val="32"/>
          <w:szCs w:val="32"/>
          <w:u w:val="none"/>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sz w:val="32"/>
          <w:szCs w:val="32"/>
          <w:u w:val="none"/>
        </w:rPr>
      </w:pPr>
      <w:r>
        <w:rPr>
          <w:rFonts w:hint="eastAsia" w:ascii="仿宋" w:hAnsi="仿宋" w:eastAsia="仿宋" w:cs="仿宋"/>
          <w:sz w:val="32"/>
          <w:szCs w:val="32"/>
          <w:u w:val="none"/>
        </w:rPr>
        <w:t>2．从预算单位构成看，纳入本单位</w:t>
      </w:r>
      <w:r>
        <w:rPr>
          <w:rFonts w:hint="eastAsia" w:ascii="仿宋" w:hAnsi="仿宋" w:eastAsia="仿宋" w:cs="仿宋"/>
          <w:sz w:val="32"/>
          <w:szCs w:val="32"/>
          <w:u w:val="none"/>
          <w:lang w:val="en-US" w:eastAsia="zh-CN"/>
        </w:rPr>
        <w:t>2023</w:t>
      </w:r>
      <w:r>
        <w:rPr>
          <w:rFonts w:hint="eastAsia" w:ascii="仿宋" w:hAnsi="仿宋" w:eastAsia="仿宋" w:cs="仿宋"/>
          <w:sz w:val="32"/>
          <w:szCs w:val="32"/>
          <w:u w:val="none"/>
        </w:rPr>
        <w:t>年部门汇总预算编制范围的预算单位共计</w:t>
      </w:r>
      <w:r>
        <w:rPr>
          <w:rFonts w:hint="eastAsia" w:ascii="仿宋" w:hAnsi="仿宋" w:eastAsia="仿宋" w:cs="仿宋"/>
          <w:sz w:val="32"/>
          <w:szCs w:val="32"/>
          <w:u w:val="none"/>
          <w:lang w:val="en-US" w:eastAsia="zh-CN"/>
        </w:rPr>
        <w:t>1</w:t>
      </w:r>
      <w:r>
        <w:rPr>
          <w:rFonts w:hint="eastAsia" w:ascii="仿宋" w:hAnsi="仿宋" w:eastAsia="仿宋" w:cs="仿宋"/>
          <w:sz w:val="32"/>
          <w:szCs w:val="32"/>
          <w:u w:val="none"/>
        </w:rPr>
        <w:t>家</w:t>
      </w:r>
      <w:r>
        <w:rPr>
          <w:rFonts w:hint="eastAsia" w:ascii="仿宋" w:hAnsi="仿宋" w:eastAsia="仿宋" w:cs="仿宋"/>
          <w:sz w:val="32"/>
          <w:szCs w:val="32"/>
          <w:u w:val="none"/>
          <w:lang w:eastAsia="zh-CN"/>
        </w:rPr>
        <w:t>，</w:t>
      </w:r>
      <w:r>
        <w:rPr>
          <w:rFonts w:hint="eastAsia" w:ascii="仿宋" w:hAnsi="仿宋" w:eastAsia="仿宋" w:cs="仿宋"/>
          <w:sz w:val="32"/>
          <w:szCs w:val="32"/>
          <w:u w:val="none"/>
        </w:rPr>
        <w:t>详细情况见表：</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
        <w:gridCol w:w="3511"/>
        <w:gridCol w:w="4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tcPr>
          <w:p>
            <w:pPr>
              <w:widowControl/>
              <w:jc w:val="center"/>
              <w:rPr>
                <w:rFonts w:hint="eastAsia" w:ascii="仿宋" w:hAnsi="仿宋" w:eastAsia="仿宋" w:cs="仿宋"/>
                <w:color w:val="000000"/>
                <w:kern w:val="0"/>
                <w:sz w:val="32"/>
                <w:szCs w:val="32"/>
                <w:highlight w:val="none"/>
                <w:u w:val="none"/>
                <w:lang w:bidi="ar"/>
              </w:rPr>
            </w:pPr>
            <w:r>
              <w:rPr>
                <w:rFonts w:hint="eastAsia" w:ascii="仿宋" w:hAnsi="仿宋" w:eastAsia="仿宋" w:cs="仿宋"/>
                <w:color w:val="000000"/>
                <w:kern w:val="0"/>
                <w:sz w:val="32"/>
                <w:szCs w:val="32"/>
                <w:highlight w:val="none"/>
                <w:u w:val="none"/>
                <w:lang w:bidi="ar"/>
              </w:rPr>
              <w:t>序号</w:t>
            </w:r>
          </w:p>
        </w:tc>
        <w:tc>
          <w:tcPr>
            <w:tcW w:w="3511" w:type="dxa"/>
            <w:vAlign w:val="center"/>
          </w:tcPr>
          <w:p>
            <w:pPr>
              <w:widowControl/>
              <w:jc w:val="center"/>
              <w:rPr>
                <w:rFonts w:hint="eastAsia" w:ascii="仿宋" w:hAnsi="仿宋" w:eastAsia="仿宋" w:cs="仿宋"/>
                <w:color w:val="000000"/>
                <w:kern w:val="0"/>
                <w:sz w:val="32"/>
                <w:szCs w:val="32"/>
                <w:highlight w:val="none"/>
                <w:u w:val="none"/>
                <w:lang w:bidi="ar"/>
              </w:rPr>
            </w:pPr>
            <w:r>
              <w:rPr>
                <w:rFonts w:hint="eastAsia" w:ascii="仿宋" w:hAnsi="仿宋" w:eastAsia="仿宋" w:cs="仿宋"/>
                <w:color w:val="000000"/>
                <w:kern w:val="0"/>
                <w:sz w:val="32"/>
                <w:szCs w:val="32"/>
                <w:highlight w:val="none"/>
                <w:u w:val="none"/>
                <w:lang w:bidi="ar"/>
              </w:rPr>
              <w:t>单位名称</w:t>
            </w:r>
          </w:p>
        </w:tc>
        <w:tc>
          <w:tcPr>
            <w:tcW w:w="4120" w:type="dxa"/>
            <w:vAlign w:val="center"/>
          </w:tcPr>
          <w:p>
            <w:pPr>
              <w:widowControl/>
              <w:jc w:val="center"/>
              <w:rPr>
                <w:rFonts w:hint="eastAsia" w:ascii="仿宋" w:hAnsi="仿宋" w:eastAsia="仿宋" w:cs="仿宋"/>
                <w:color w:val="000000"/>
                <w:kern w:val="0"/>
                <w:sz w:val="32"/>
                <w:szCs w:val="32"/>
                <w:highlight w:val="none"/>
                <w:u w:val="none"/>
                <w:lang w:bidi="ar"/>
              </w:rPr>
            </w:pPr>
            <w:r>
              <w:rPr>
                <w:rFonts w:hint="eastAsia" w:ascii="仿宋" w:hAnsi="仿宋" w:eastAsia="仿宋" w:cs="仿宋"/>
                <w:color w:val="000000"/>
                <w:kern w:val="0"/>
                <w:sz w:val="32"/>
                <w:szCs w:val="32"/>
                <w:highlight w:val="none"/>
                <w:u w:val="none"/>
                <w:lang w:bidi="ar"/>
              </w:rPr>
              <w:t>单位性质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vAlign w:val="center"/>
          </w:tcPr>
          <w:p>
            <w:pPr>
              <w:widowControl/>
              <w:jc w:val="center"/>
              <w:rPr>
                <w:rFonts w:hint="eastAsia" w:ascii="仿宋" w:hAnsi="仿宋" w:eastAsia="仿宋" w:cs="仿宋"/>
                <w:color w:val="000000"/>
                <w:kern w:val="0"/>
                <w:sz w:val="32"/>
                <w:szCs w:val="32"/>
                <w:highlight w:val="none"/>
                <w:u w:val="none"/>
                <w:lang w:eastAsia="zh-CN" w:bidi="ar"/>
              </w:rPr>
            </w:pPr>
            <w:r>
              <w:rPr>
                <w:rFonts w:hint="eastAsia" w:ascii="仿宋" w:hAnsi="仿宋" w:eastAsia="仿宋" w:cs="仿宋"/>
                <w:color w:val="000000"/>
                <w:kern w:val="0"/>
                <w:sz w:val="32"/>
                <w:szCs w:val="32"/>
                <w:highlight w:val="none"/>
                <w:u w:val="none"/>
                <w:lang w:val="en-US" w:eastAsia="zh-CN" w:bidi="ar"/>
              </w:rPr>
              <w:t>1</w:t>
            </w:r>
          </w:p>
        </w:tc>
        <w:tc>
          <w:tcPr>
            <w:tcW w:w="3511" w:type="dxa"/>
          </w:tcPr>
          <w:p>
            <w:pPr>
              <w:widowControl/>
              <w:jc w:val="left"/>
              <w:rPr>
                <w:rFonts w:hint="eastAsia" w:ascii="仿宋" w:hAnsi="仿宋" w:eastAsia="仿宋" w:cs="仿宋"/>
                <w:color w:val="000000"/>
                <w:kern w:val="0"/>
                <w:sz w:val="32"/>
                <w:szCs w:val="32"/>
                <w:highlight w:val="none"/>
                <w:u w:val="none"/>
                <w:lang w:val="en-US" w:eastAsia="zh-CN" w:bidi="ar"/>
              </w:rPr>
            </w:pPr>
            <w:r>
              <w:rPr>
                <w:rFonts w:hint="eastAsia" w:ascii="仿宋" w:hAnsi="仿宋" w:eastAsia="仿宋" w:cs="仿宋"/>
                <w:color w:val="000000"/>
                <w:kern w:val="0"/>
                <w:sz w:val="32"/>
                <w:szCs w:val="32"/>
                <w:highlight w:val="none"/>
                <w:u w:val="none"/>
                <w:lang w:val="en-US" w:eastAsia="zh-CN" w:bidi="ar"/>
              </w:rPr>
              <w:t>内蒙古自治区人民医院</w:t>
            </w:r>
          </w:p>
        </w:tc>
        <w:tc>
          <w:tcPr>
            <w:tcW w:w="4120" w:type="dxa"/>
          </w:tcPr>
          <w:p>
            <w:pPr>
              <w:widowControl/>
              <w:jc w:val="left"/>
              <w:rPr>
                <w:rFonts w:hint="eastAsia" w:ascii="仿宋" w:hAnsi="仿宋" w:eastAsia="仿宋" w:cs="仿宋"/>
                <w:color w:val="000000"/>
                <w:kern w:val="0"/>
                <w:sz w:val="32"/>
                <w:szCs w:val="32"/>
                <w:highlight w:val="none"/>
                <w:u w:val="none"/>
                <w:lang w:bidi="ar"/>
              </w:rPr>
            </w:pPr>
            <w:r>
              <w:rPr>
                <w:rFonts w:hint="eastAsia" w:ascii="仿宋" w:hAnsi="仿宋" w:eastAsia="仿宋" w:cs="仿宋"/>
                <w:color w:val="000000"/>
                <w:kern w:val="0"/>
                <w:sz w:val="32"/>
                <w:szCs w:val="32"/>
                <w:highlight w:val="none"/>
                <w:u w:val="none"/>
                <w:lang w:bidi="ar"/>
              </w:rPr>
              <w:t>公益二类事业单位</w:t>
            </w:r>
          </w:p>
        </w:tc>
      </w:tr>
    </w:tbl>
    <w:p>
      <w:pPr>
        <w:pStyle w:val="4"/>
        <w:numPr>
          <w:ilvl w:val="0"/>
          <w:numId w:val="1"/>
        </w:numPr>
        <w:bidi w:val="0"/>
        <w:rPr>
          <w:rFonts w:hint="eastAsia"/>
          <w:highlight w:val="none"/>
        </w:rPr>
      </w:pPr>
      <w:r>
        <w:rPr>
          <w:rFonts w:hint="eastAsia"/>
          <w:highlight w:val="none"/>
          <w:lang w:val="en-US" w:eastAsia="zh-CN"/>
        </w:rPr>
        <w:t>2023</w:t>
      </w:r>
      <w:r>
        <w:rPr>
          <w:rFonts w:hint="eastAsia"/>
          <w:highlight w:val="none"/>
        </w:rPr>
        <w:t>年度单位主要工作任务及目标</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sz w:val="32"/>
          <w:szCs w:val="32"/>
          <w:u w:val="none"/>
        </w:rPr>
      </w:pPr>
      <w:bookmarkStart w:id="1" w:name="_Toc21288"/>
      <w:r>
        <w:rPr>
          <w:rFonts w:hint="eastAsia" w:ascii="仿宋" w:hAnsi="仿宋" w:eastAsia="仿宋" w:cs="仿宋"/>
          <w:sz w:val="32"/>
          <w:szCs w:val="32"/>
          <w:u w:val="none"/>
        </w:rPr>
        <w:t>2023年医院主要指标任务是：出院患者增长率≥5%，外科手术占比≥70%，出院患者四级手术占比≥30%，平均住院日≤9天，药占比≤28%，耗占比（耗材消耗/医疗收入）≤20%（其中高值耗材占比≤10%），临床路径病人占出院病人总数≥70%，DRGs病例组合指数（CMI值）≥1.2，患者满意度≥90%，职工满意度≥85%，简称“10+X”指标（10是指核心指标；X是指监测指标，监测指标共四大类，主要包括单病种（术种）质量控制指标、重点专业质量控制指标、医疗服务能力与医院质量安全指标、重点医疗技术临床应用质量控制指标，监测指标要求100%开展）。</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sz w:val="32"/>
          <w:szCs w:val="32"/>
          <w:u w:val="none"/>
        </w:rPr>
      </w:pPr>
    </w:p>
    <w:p>
      <w:pPr>
        <w:rPr>
          <w:rFonts w:hint="eastAsia" w:ascii="方正小标宋简体" w:hAnsi="方正小标宋简体" w:eastAsia="方正小标宋简体" w:cs="方正小标宋简体"/>
          <w:b w:val="0"/>
          <w:bCs w:val="0"/>
          <w:sz w:val="36"/>
          <w:szCs w:val="36"/>
          <w:highlight w:val="none"/>
          <w:u w:val="none"/>
        </w:rPr>
      </w:pPr>
      <w:r>
        <w:rPr>
          <w:rFonts w:hint="eastAsia" w:ascii="方正小标宋简体" w:hAnsi="方正小标宋简体" w:eastAsia="方正小标宋简体" w:cs="方正小标宋简体"/>
          <w:b w:val="0"/>
          <w:bCs w:val="0"/>
          <w:sz w:val="36"/>
          <w:szCs w:val="36"/>
          <w:highlight w:val="none"/>
          <w:u w:val="none"/>
        </w:rPr>
        <w:br w:type="page"/>
      </w:r>
    </w:p>
    <w:p>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u w:val="none"/>
        </w:rPr>
      </w:pPr>
      <w:r>
        <w:rPr>
          <w:rFonts w:hint="eastAsia" w:ascii="方正小标宋简体" w:hAnsi="方正小标宋简体" w:eastAsia="方正小标宋简体" w:cs="方正小标宋简体"/>
          <w:b w:val="0"/>
          <w:bCs w:val="0"/>
          <w:sz w:val="36"/>
          <w:szCs w:val="36"/>
          <w:highlight w:val="none"/>
          <w:u w:val="none"/>
        </w:rPr>
        <w:t>第二部分</w:t>
      </w:r>
      <w:r>
        <w:rPr>
          <w:rFonts w:hint="eastAsia" w:ascii="方正小标宋简体" w:hAnsi="方正小标宋简体" w:eastAsia="方正小标宋简体" w:cs="方正小标宋简体"/>
          <w:b w:val="0"/>
          <w:bCs w:val="0"/>
          <w:sz w:val="36"/>
          <w:szCs w:val="36"/>
          <w:highlight w:val="none"/>
          <w:u w:val="none"/>
          <w:lang w:val="en-US" w:eastAsia="zh-CN"/>
        </w:rPr>
        <w:t>2023</w:t>
      </w:r>
      <w:r>
        <w:rPr>
          <w:rFonts w:hint="eastAsia" w:ascii="方正小标宋简体" w:hAnsi="方正小标宋简体" w:eastAsia="方正小标宋简体" w:cs="方正小标宋简体"/>
          <w:b w:val="0"/>
          <w:bCs w:val="0"/>
          <w:sz w:val="36"/>
          <w:szCs w:val="36"/>
          <w:highlight w:val="none"/>
          <w:u w:val="none"/>
        </w:rPr>
        <w:t>年度单位预算情况说明</w:t>
      </w:r>
      <w:bookmarkEnd w:id="1"/>
    </w:p>
    <w:p>
      <w:pPr>
        <w:spacing w:line="600" w:lineRule="exact"/>
        <w:rPr>
          <w:rFonts w:ascii="方正小标宋简体" w:hAnsi="方正小标宋简体" w:eastAsia="方正小标宋简体" w:cs="方正小标宋简体"/>
          <w:sz w:val="36"/>
          <w:szCs w:val="36"/>
          <w:highlight w:val="none"/>
          <w:u w:val="none"/>
        </w:rPr>
      </w:pPr>
    </w:p>
    <w:p>
      <w:pPr>
        <w:pStyle w:val="4"/>
        <w:pageBreakBefore w:val="0"/>
        <w:widowControl w:val="0"/>
        <w:kinsoku/>
        <w:wordWrap/>
        <w:overflowPunct/>
        <w:topLinePunct w:val="0"/>
        <w:autoSpaceDE/>
        <w:autoSpaceDN/>
        <w:bidi w:val="0"/>
        <w:adjustRightInd/>
        <w:spacing w:line="360" w:lineRule="auto"/>
        <w:textAlignment w:val="auto"/>
      </w:pPr>
      <w:r>
        <w:rPr>
          <w:rFonts w:hint="eastAsia"/>
        </w:rPr>
        <w:t>一、收支预算总体情况说明</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cs="仿宋"/>
          <w:sz w:val="32"/>
          <w:szCs w:val="32"/>
          <w:u w:val="none"/>
        </w:rPr>
      </w:pPr>
      <w:r>
        <w:rPr>
          <w:rFonts w:hint="eastAsia" w:ascii="仿宋" w:hAnsi="仿宋" w:eastAsia="仿宋" w:cs="仿宋"/>
          <w:sz w:val="32"/>
          <w:szCs w:val="32"/>
          <w:u w:val="none"/>
        </w:rPr>
        <w:t>内蒙古自治区人民医院</w:t>
      </w:r>
      <w:r>
        <w:rPr>
          <w:rFonts w:hint="eastAsia" w:ascii="仿宋" w:hAnsi="仿宋" w:eastAsia="仿宋" w:cs="仿宋"/>
          <w:sz w:val="32"/>
          <w:szCs w:val="32"/>
          <w:u w:val="none"/>
          <w:lang w:val="en-US" w:eastAsia="zh-CN"/>
        </w:rPr>
        <w:t>2023</w:t>
      </w:r>
      <w:r>
        <w:rPr>
          <w:rFonts w:hint="eastAsia" w:ascii="仿宋" w:hAnsi="仿宋" w:eastAsia="仿宋" w:cs="仿宋"/>
          <w:sz w:val="32"/>
          <w:szCs w:val="32"/>
          <w:u w:val="none"/>
        </w:rPr>
        <w:t>年度收入、支出预算总计307,323.37万元，与上年相比收、支预算总计各增加30,101.</w:t>
      </w:r>
      <w:r>
        <w:rPr>
          <w:rFonts w:hint="eastAsia" w:ascii="仿宋" w:hAnsi="仿宋" w:eastAsia="仿宋" w:cs="仿宋"/>
          <w:sz w:val="32"/>
          <w:szCs w:val="32"/>
          <w:u w:val="none"/>
          <w:lang w:val="en-US" w:eastAsia="zh-CN"/>
        </w:rPr>
        <w:t>14</w:t>
      </w:r>
      <w:r>
        <w:rPr>
          <w:rFonts w:hint="eastAsia" w:ascii="仿宋" w:hAnsi="仿宋" w:eastAsia="仿宋" w:cs="仿宋"/>
          <w:sz w:val="32"/>
          <w:szCs w:val="32"/>
          <w:u w:val="none"/>
        </w:rPr>
        <w:t>万元，增长</w:t>
      </w:r>
      <w:r>
        <w:rPr>
          <w:rFonts w:hint="eastAsia" w:ascii="仿宋" w:hAnsi="仿宋" w:eastAsia="仿宋" w:cs="仿宋"/>
          <w:sz w:val="32"/>
          <w:szCs w:val="32"/>
          <w:u w:val="none"/>
          <w:lang w:val="en-US" w:eastAsia="zh-CN"/>
        </w:rPr>
        <w:t>10.86</w:t>
      </w:r>
      <w:r>
        <w:rPr>
          <w:rFonts w:hint="eastAsia" w:ascii="仿宋" w:hAnsi="仿宋" w:eastAsia="仿宋" w:cs="仿宋"/>
          <w:sz w:val="32"/>
          <w:szCs w:val="32"/>
          <w:u w:val="none"/>
        </w:rPr>
        <w:t>%。其中：</w:t>
      </w:r>
    </w:p>
    <w:p>
      <w:pPr>
        <w:pStyle w:val="10"/>
        <w:keepNext w:val="0"/>
        <w:keepLines w:val="0"/>
        <w:pageBreakBefore w:val="0"/>
        <w:widowControl w:val="0"/>
        <w:tabs>
          <w:tab w:val="left" w:pos="4275"/>
        </w:tabs>
        <w:kinsoku/>
        <w:wordWrap/>
        <w:overflowPunct/>
        <w:topLinePunct w:val="0"/>
        <w:autoSpaceDE/>
        <w:autoSpaceDN/>
        <w:bidi w:val="0"/>
        <w:adjustRightInd/>
        <w:snapToGrid/>
        <w:spacing w:after="0" w:line="360" w:lineRule="auto"/>
        <w:ind w:firstLine="643" w:firstLineChars="200"/>
        <w:textAlignment w:val="auto"/>
        <w:rPr>
          <w:rFonts w:hint="eastAsia" w:ascii="仿宋" w:hAnsi="仿宋" w:eastAsia="仿宋" w:cs="仿宋"/>
          <w:b/>
          <w:bCs/>
          <w:sz w:val="32"/>
          <w:szCs w:val="32"/>
          <w:highlight w:val="none"/>
          <w:u w:val="none"/>
        </w:rPr>
      </w:pPr>
      <w:r>
        <w:rPr>
          <w:rFonts w:hint="eastAsia" w:ascii="仿宋" w:hAnsi="仿宋" w:eastAsia="仿宋" w:cs="仿宋"/>
          <w:b/>
          <w:bCs/>
          <w:sz w:val="32"/>
          <w:szCs w:val="32"/>
          <w:highlight w:val="none"/>
          <w:u w:val="none"/>
        </w:rPr>
        <w:t>（一）收入预算总计</w:t>
      </w:r>
      <w:r>
        <w:rPr>
          <w:rFonts w:hint="eastAsia" w:ascii="仿宋" w:hAnsi="仿宋" w:eastAsia="仿宋" w:cs="仿宋"/>
          <w:b/>
          <w:bCs/>
          <w:sz w:val="32"/>
          <w:szCs w:val="32"/>
          <w:u w:val="none"/>
        </w:rPr>
        <w:t>307,323.37</w:t>
      </w:r>
      <w:r>
        <w:rPr>
          <w:rFonts w:hint="eastAsia" w:ascii="仿宋" w:hAnsi="仿宋" w:eastAsia="仿宋" w:cs="仿宋"/>
          <w:b/>
          <w:bCs/>
          <w:sz w:val="32"/>
          <w:szCs w:val="32"/>
          <w:highlight w:val="none"/>
          <w:u w:val="none"/>
        </w:rPr>
        <w:t>万元。包括：</w:t>
      </w:r>
    </w:p>
    <w:p>
      <w:pPr>
        <w:pStyle w:val="10"/>
        <w:keepNext w:val="0"/>
        <w:keepLines w:val="0"/>
        <w:pageBreakBefore w:val="0"/>
        <w:widowControl w:val="0"/>
        <w:tabs>
          <w:tab w:val="left" w:pos="3792"/>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1．本年收入合计</w:t>
      </w:r>
      <w:r>
        <w:rPr>
          <w:rFonts w:hint="eastAsia" w:ascii="仿宋" w:hAnsi="仿宋" w:eastAsia="仿宋" w:cs="仿宋"/>
          <w:sz w:val="32"/>
          <w:szCs w:val="32"/>
          <w:u w:val="none"/>
          <w:lang w:val="en-US" w:eastAsia="zh-CN"/>
        </w:rPr>
        <w:t>296,461.71</w:t>
      </w:r>
      <w:r>
        <w:rPr>
          <w:rFonts w:hint="eastAsia" w:ascii="仿宋" w:hAnsi="仿宋" w:eastAsia="仿宋" w:cs="仿宋"/>
          <w:sz w:val="32"/>
          <w:szCs w:val="32"/>
          <w:highlight w:val="none"/>
          <w:u w:val="none"/>
        </w:rPr>
        <w:t>万元。</w:t>
      </w:r>
    </w:p>
    <w:p>
      <w:pPr>
        <w:pStyle w:val="10"/>
        <w:keepNext w:val="0"/>
        <w:keepLines w:val="0"/>
        <w:pageBreakBefore w:val="0"/>
        <w:widowControl w:val="0"/>
        <w:tabs>
          <w:tab w:val="left" w:pos="1389"/>
          <w:tab w:val="left" w:pos="4911"/>
          <w:tab w:val="left" w:pos="5898"/>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（1）一般公共预算拨款收入</w:t>
      </w:r>
      <w:r>
        <w:rPr>
          <w:rFonts w:hint="eastAsia" w:ascii="仿宋" w:hAnsi="仿宋" w:eastAsia="仿宋" w:cs="仿宋"/>
          <w:sz w:val="32"/>
          <w:szCs w:val="32"/>
          <w:u w:val="none"/>
        </w:rPr>
        <w:t>8,065.61</w:t>
      </w:r>
      <w:r>
        <w:rPr>
          <w:rFonts w:hint="eastAsia" w:ascii="仿宋" w:hAnsi="仿宋" w:eastAsia="仿宋" w:cs="仿宋"/>
          <w:sz w:val="32"/>
          <w:szCs w:val="32"/>
          <w:highlight w:val="none"/>
          <w:u w:val="none"/>
        </w:rPr>
        <w:t>万元，与上年相比增加</w:t>
      </w:r>
      <w:r>
        <w:rPr>
          <w:rFonts w:hint="eastAsia" w:ascii="仿宋" w:hAnsi="仿宋" w:eastAsia="仿宋" w:cs="仿宋"/>
          <w:sz w:val="32"/>
          <w:szCs w:val="32"/>
          <w:highlight w:val="none"/>
          <w:u w:val="none"/>
          <w:lang w:val="en-US" w:eastAsia="zh-CN"/>
        </w:rPr>
        <w:t>296.17</w:t>
      </w:r>
      <w:r>
        <w:rPr>
          <w:rFonts w:hint="eastAsia" w:ascii="仿宋" w:hAnsi="仿宋" w:eastAsia="仿宋" w:cs="仿宋"/>
          <w:sz w:val="32"/>
          <w:szCs w:val="32"/>
          <w:highlight w:val="none"/>
          <w:u w:val="none"/>
        </w:rPr>
        <w:t>万元，增长</w:t>
      </w:r>
      <w:r>
        <w:rPr>
          <w:rFonts w:hint="eastAsia" w:ascii="仿宋" w:hAnsi="仿宋" w:eastAsia="仿宋" w:cs="仿宋"/>
          <w:sz w:val="32"/>
          <w:szCs w:val="32"/>
          <w:highlight w:val="none"/>
          <w:u w:val="none"/>
          <w:lang w:val="en-US" w:eastAsia="zh-CN"/>
        </w:rPr>
        <w:t>3.81</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。主要原因是</w:t>
      </w:r>
      <w:r>
        <w:rPr>
          <w:rFonts w:hint="eastAsia" w:ascii="仿宋" w:hAnsi="仿宋" w:eastAsia="仿宋" w:cs="仿宋"/>
          <w:sz w:val="32"/>
          <w:szCs w:val="32"/>
          <w:highlight w:val="none"/>
          <w:u w:val="none"/>
          <w:lang w:val="en-US" w:eastAsia="zh-CN"/>
        </w:rPr>
        <w:t>新增</w:t>
      </w:r>
      <w:r>
        <w:rPr>
          <w:rFonts w:hint="eastAsia" w:ascii="仿宋" w:hAnsi="仿宋" w:eastAsia="仿宋" w:cs="仿宋"/>
          <w:sz w:val="32"/>
          <w:szCs w:val="32"/>
          <w:highlight w:val="none"/>
          <w:u w:val="none"/>
          <w:lang w:eastAsia="zh-CN"/>
        </w:rPr>
        <w:t>卫生健康管理经费</w:t>
      </w:r>
      <w:r>
        <w:rPr>
          <w:rFonts w:hint="eastAsia" w:ascii="仿宋" w:hAnsi="仿宋" w:eastAsia="仿宋" w:cs="仿宋"/>
          <w:sz w:val="32"/>
          <w:szCs w:val="32"/>
          <w:highlight w:val="none"/>
          <w:u w:val="none"/>
          <w:lang w:val="en-US" w:eastAsia="zh-CN"/>
        </w:rPr>
        <w:t>100万元，“草原英才”项目资金增加66万元，基本公共卫生服务补助资金增加80万元</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1389"/>
          <w:tab w:val="left" w:pos="4911"/>
          <w:tab w:val="left" w:pos="5991"/>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（2）政府性基金预算拨款收入</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万元，与上年相比增加（减少）</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万元，增长（减少）</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。主要原因是</w:t>
      </w:r>
      <w:r>
        <w:rPr>
          <w:rFonts w:hint="eastAsia" w:ascii="仿宋" w:hAnsi="仿宋" w:eastAsia="仿宋" w:cs="仿宋"/>
          <w:sz w:val="32"/>
          <w:szCs w:val="32"/>
          <w:highlight w:val="none"/>
          <w:u w:val="none"/>
          <w:lang w:val="en-US" w:eastAsia="zh-CN"/>
        </w:rPr>
        <w:t>本单位</w:t>
      </w:r>
      <w:r>
        <w:rPr>
          <w:rFonts w:hint="eastAsia" w:ascii="仿宋" w:hAnsi="仿宋" w:eastAsia="仿宋" w:cs="仿宋"/>
          <w:sz w:val="32"/>
          <w:szCs w:val="24"/>
          <w:highlight w:val="none"/>
          <w:u w:val="none"/>
        </w:rPr>
        <w:t>不存在此项内容</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1389"/>
          <w:tab w:val="left" w:pos="4911"/>
          <w:tab w:val="left" w:pos="6205"/>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（3）国有资本经营预算拨款收入</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万元，与上年相比增加（减少）</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万元，增长（减少）</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。主要原因是</w:t>
      </w:r>
      <w:r>
        <w:rPr>
          <w:rFonts w:hint="eastAsia" w:ascii="仿宋" w:hAnsi="仿宋" w:eastAsia="仿宋" w:cs="仿宋"/>
          <w:sz w:val="32"/>
          <w:szCs w:val="32"/>
          <w:highlight w:val="none"/>
          <w:u w:val="none"/>
          <w:lang w:val="en-US" w:eastAsia="zh-CN"/>
        </w:rPr>
        <w:t>本单位</w:t>
      </w:r>
      <w:r>
        <w:rPr>
          <w:rFonts w:hint="eastAsia" w:ascii="仿宋" w:hAnsi="仿宋" w:eastAsia="仿宋" w:cs="仿宋"/>
          <w:sz w:val="32"/>
          <w:szCs w:val="24"/>
          <w:highlight w:val="none"/>
          <w:u w:val="none"/>
        </w:rPr>
        <w:t>不存在此项内容</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1389"/>
          <w:tab w:val="left" w:pos="4911"/>
          <w:tab w:val="left" w:pos="5898"/>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（4）财政专户管理资金收入</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万元，与上年相比增加（减少）</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万元，增长（减少）</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。主要原因是</w:t>
      </w:r>
      <w:r>
        <w:rPr>
          <w:rFonts w:hint="eastAsia" w:ascii="仿宋" w:hAnsi="仿宋" w:eastAsia="仿宋" w:cs="仿宋"/>
          <w:sz w:val="32"/>
          <w:szCs w:val="32"/>
          <w:highlight w:val="none"/>
          <w:u w:val="none"/>
          <w:lang w:val="en-US" w:eastAsia="zh-CN"/>
        </w:rPr>
        <w:t>本单位</w:t>
      </w:r>
      <w:r>
        <w:rPr>
          <w:rFonts w:hint="eastAsia" w:ascii="仿宋" w:hAnsi="仿宋" w:eastAsia="仿宋" w:cs="仿宋"/>
          <w:sz w:val="32"/>
          <w:szCs w:val="24"/>
          <w:highlight w:val="none"/>
          <w:u w:val="none"/>
        </w:rPr>
        <w:t>不存在此项内容</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3310"/>
          <w:tab w:val="left" w:pos="3807"/>
          <w:tab w:val="left" w:pos="9433"/>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（5）事业收入</w:t>
      </w:r>
      <w:r>
        <w:rPr>
          <w:rFonts w:hint="eastAsia" w:ascii="仿宋" w:hAnsi="仿宋" w:eastAsia="仿宋" w:cs="仿宋"/>
          <w:sz w:val="32"/>
          <w:szCs w:val="32"/>
          <w:u w:val="none"/>
        </w:rPr>
        <w:t>288,396.10</w:t>
      </w:r>
      <w:r>
        <w:rPr>
          <w:rFonts w:hint="eastAsia" w:ascii="仿宋" w:hAnsi="仿宋" w:eastAsia="仿宋" w:cs="仿宋"/>
          <w:sz w:val="32"/>
          <w:szCs w:val="32"/>
          <w:highlight w:val="none"/>
          <w:u w:val="none"/>
        </w:rPr>
        <w:t>万元，与上年相比增加</w:t>
      </w:r>
      <w:r>
        <w:rPr>
          <w:rFonts w:hint="eastAsia" w:ascii="仿宋" w:hAnsi="仿宋" w:eastAsia="仿宋" w:cs="仿宋"/>
          <w:sz w:val="32"/>
          <w:szCs w:val="32"/>
          <w:highlight w:val="none"/>
          <w:u w:val="none"/>
          <w:lang w:val="en-US" w:eastAsia="zh-CN"/>
        </w:rPr>
        <w:t>24,940.67</w:t>
      </w:r>
      <w:r>
        <w:rPr>
          <w:rFonts w:hint="eastAsia" w:ascii="仿宋" w:hAnsi="仿宋" w:eastAsia="仿宋" w:cs="仿宋"/>
          <w:sz w:val="32"/>
          <w:szCs w:val="32"/>
          <w:highlight w:val="none"/>
          <w:u w:val="none"/>
        </w:rPr>
        <w:t>万元，增长</w:t>
      </w:r>
      <w:r>
        <w:rPr>
          <w:rFonts w:hint="eastAsia" w:ascii="仿宋" w:hAnsi="仿宋" w:eastAsia="仿宋" w:cs="仿宋"/>
          <w:sz w:val="32"/>
          <w:szCs w:val="32"/>
          <w:highlight w:val="none"/>
          <w:u w:val="none"/>
          <w:lang w:val="en-US" w:eastAsia="zh-CN"/>
        </w:rPr>
        <w:t>9.47</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。主要原因是</w:t>
      </w:r>
      <w:r>
        <w:rPr>
          <w:rFonts w:hint="eastAsia" w:ascii="仿宋" w:hAnsi="仿宋" w:eastAsia="仿宋" w:cs="仿宋"/>
          <w:sz w:val="32"/>
          <w:szCs w:val="32"/>
          <w:u w:val="none"/>
        </w:rPr>
        <w:t>根据2022年预算实际执行情况，结合2023年医院发展战略及医院“十四五”发展规划，考虑国家政策及医院收入增长因素，经充分测算论证后编制的</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1389"/>
          <w:tab w:val="left" w:pos="4911"/>
          <w:tab w:val="left" w:pos="590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（6）事业单位经营收入</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万元，与上年相比增加（减少）</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万元，增长（减少）</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。主要原因是</w:t>
      </w:r>
      <w:r>
        <w:rPr>
          <w:rFonts w:hint="eastAsia" w:ascii="仿宋" w:hAnsi="仿宋" w:eastAsia="仿宋" w:cs="仿宋"/>
          <w:sz w:val="32"/>
          <w:szCs w:val="32"/>
          <w:highlight w:val="none"/>
          <w:u w:val="none"/>
          <w:lang w:val="en-US" w:eastAsia="zh-CN"/>
        </w:rPr>
        <w:t>本单位</w:t>
      </w:r>
      <w:r>
        <w:rPr>
          <w:rFonts w:hint="eastAsia" w:ascii="仿宋" w:hAnsi="仿宋" w:eastAsia="仿宋" w:cs="仿宋"/>
          <w:sz w:val="32"/>
          <w:szCs w:val="24"/>
          <w:highlight w:val="none"/>
          <w:u w:val="none"/>
        </w:rPr>
        <w:t>不存在此项内容</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4320"/>
          <w:tab w:val="left" w:pos="9433"/>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（7）上级补助收入</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万元，与上年相比增加（减少）</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万元，增长（减少）</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。主要原因是</w:t>
      </w:r>
      <w:r>
        <w:rPr>
          <w:rFonts w:hint="eastAsia" w:ascii="仿宋" w:hAnsi="仿宋" w:eastAsia="仿宋" w:cs="仿宋"/>
          <w:sz w:val="32"/>
          <w:szCs w:val="32"/>
          <w:highlight w:val="none"/>
          <w:u w:val="none"/>
          <w:lang w:val="en-US" w:eastAsia="zh-CN"/>
        </w:rPr>
        <w:t>本单位</w:t>
      </w:r>
      <w:r>
        <w:rPr>
          <w:rFonts w:hint="eastAsia" w:ascii="仿宋" w:hAnsi="仿宋" w:eastAsia="仿宋" w:cs="仿宋"/>
          <w:sz w:val="32"/>
          <w:szCs w:val="24"/>
          <w:highlight w:val="none"/>
          <w:u w:val="none"/>
        </w:rPr>
        <w:t>不存在此项内容</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1389"/>
          <w:tab w:val="left" w:pos="4911"/>
          <w:tab w:val="left" w:pos="590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（8）附属单位上缴收入</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万元，与上年相比增加（减少）</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万元，增长（减少）</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。主要原因是</w:t>
      </w:r>
      <w:r>
        <w:rPr>
          <w:rFonts w:hint="eastAsia" w:ascii="仿宋" w:hAnsi="仿宋" w:eastAsia="仿宋" w:cs="仿宋"/>
          <w:sz w:val="32"/>
          <w:szCs w:val="32"/>
          <w:highlight w:val="none"/>
          <w:u w:val="none"/>
          <w:lang w:val="en-US" w:eastAsia="zh-CN"/>
        </w:rPr>
        <w:t>本单位</w:t>
      </w:r>
      <w:r>
        <w:rPr>
          <w:rFonts w:hint="eastAsia" w:ascii="仿宋" w:hAnsi="仿宋" w:eastAsia="仿宋" w:cs="仿宋"/>
          <w:sz w:val="32"/>
          <w:szCs w:val="24"/>
          <w:highlight w:val="none"/>
          <w:u w:val="none"/>
        </w:rPr>
        <w:t>不存在此项内容</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3310"/>
          <w:tab w:val="left" w:pos="4121"/>
          <w:tab w:val="left" w:pos="9431"/>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（9）其他收入</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万元，与上年相比增加（减少）</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万元，增长（减少）</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。主要原因是</w:t>
      </w:r>
      <w:r>
        <w:rPr>
          <w:rFonts w:hint="eastAsia" w:ascii="仿宋" w:hAnsi="仿宋" w:eastAsia="仿宋" w:cs="仿宋"/>
          <w:sz w:val="32"/>
          <w:szCs w:val="32"/>
          <w:highlight w:val="none"/>
          <w:u w:val="none"/>
          <w:lang w:val="en-US" w:eastAsia="zh-CN"/>
        </w:rPr>
        <w:t>本单位</w:t>
      </w:r>
      <w:r>
        <w:rPr>
          <w:rFonts w:hint="eastAsia" w:ascii="仿宋" w:hAnsi="仿宋" w:eastAsia="仿宋" w:cs="仿宋"/>
          <w:sz w:val="32"/>
          <w:szCs w:val="24"/>
          <w:highlight w:val="none"/>
          <w:u w:val="none"/>
        </w:rPr>
        <w:t>不存在此项内容</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3310"/>
          <w:tab w:val="left" w:pos="4280"/>
          <w:tab w:val="left" w:pos="9431"/>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2．上年结转结余</w:t>
      </w:r>
      <w:r>
        <w:rPr>
          <w:rFonts w:hint="eastAsia" w:ascii="仿宋" w:hAnsi="仿宋" w:eastAsia="仿宋" w:cs="仿宋"/>
          <w:sz w:val="32"/>
          <w:szCs w:val="32"/>
          <w:u w:val="none"/>
        </w:rPr>
        <w:t>10,861.65</w:t>
      </w:r>
      <w:r>
        <w:rPr>
          <w:rFonts w:hint="eastAsia" w:ascii="仿宋" w:hAnsi="仿宋" w:eastAsia="仿宋" w:cs="仿宋"/>
          <w:sz w:val="32"/>
          <w:szCs w:val="32"/>
          <w:highlight w:val="none"/>
          <w:u w:val="none"/>
        </w:rPr>
        <w:t>万元。与上年相比增加</w:t>
      </w:r>
      <w:r>
        <w:rPr>
          <w:rFonts w:hint="eastAsia" w:ascii="仿宋" w:hAnsi="仿宋" w:eastAsia="仿宋" w:cs="仿宋"/>
          <w:sz w:val="32"/>
          <w:szCs w:val="32"/>
          <w:highlight w:val="none"/>
          <w:u w:val="none"/>
          <w:lang w:val="en-US" w:eastAsia="zh-CN"/>
        </w:rPr>
        <w:t>4,864.30</w:t>
      </w:r>
      <w:r>
        <w:rPr>
          <w:rFonts w:hint="eastAsia" w:ascii="仿宋" w:hAnsi="仿宋" w:eastAsia="仿宋" w:cs="仿宋"/>
          <w:sz w:val="32"/>
          <w:szCs w:val="32"/>
          <w:highlight w:val="none"/>
          <w:u w:val="none"/>
        </w:rPr>
        <w:t>万元，增长</w:t>
      </w:r>
      <w:r>
        <w:rPr>
          <w:rFonts w:hint="eastAsia" w:ascii="仿宋" w:hAnsi="仿宋" w:eastAsia="仿宋" w:cs="仿宋"/>
          <w:sz w:val="32"/>
          <w:szCs w:val="32"/>
          <w:highlight w:val="none"/>
          <w:u w:val="none"/>
          <w:lang w:val="en-US" w:eastAsia="zh-CN"/>
        </w:rPr>
        <w:t>81.11</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。主要原因是</w:t>
      </w:r>
      <w:r>
        <w:rPr>
          <w:rFonts w:hint="eastAsia" w:ascii="仿宋" w:hAnsi="仿宋" w:eastAsia="仿宋" w:cs="仿宋"/>
          <w:sz w:val="32"/>
          <w:szCs w:val="32"/>
          <w:highlight w:val="none"/>
          <w:u w:val="none"/>
          <w:lang w:val="en-US" w:eastAsia="zh-CN"/>
        </w:rPr>
        <w:t>结转</w:t>
      </w:r>
      <w:r>
        <w:rPr>
          <w:rFonts w:hint="eastAsia" w:ascii="仿宋" w:hAnsi="仿宋" w:eastAsia="仿宋" w:cs="仿宋"/>
          <w:sz w:val="32"/>
          <w:szCs w:val="32"/>
          <w:highlight w:val="none"/>
          <w:u w:val="none"/>
          <w:lang w:eastAsia="zh-CN"/>
        </w:rPr>
        <w:t>自治区直属医疗卫生机构重症救治能力建设补助资金</w:t>
      </w:r>
      <w:r>
        <w:rPr>
          <w:rFonts w:hint="eastAsia" w:ascii="仿宋" w:hAnsi="仿宋" w:eastAsia="仿宋" w:cs="仿宋"/>
          <w:sz w:val="32"/>
          <w:szCs w:val="32"/>
          <w:highlight w:val="none"/>
          <w:u w:val="none"/>
          <w:lang w:val="en-US" w:eastAsia="zh-CN"/>
        </w:rPr>
        <w:t>6,000万元</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4275"/>
        </w:tabs>
        <w:kinsoku/>
        <w:wordWrap/>
        <w:overflowPunct/>
        <w:topLinePunct w:val="0"/>
        <w:autoSpaceDE/>
        <w:autoSpaceDN/>
        <w:bidi w:val="0"/>
        <w:adjustRightInd/>
        <w:spacing w:after="0" w:line="360" w:lineRule="auto"/>
        <w:ind w:firstLine="643" w:firstLineChars="200"/>
        <w:textAlignment w:val="auto"/>
        <w:rPr>
          <w:rFonts w:hint="eastAsia" w:ascii="仿宋" w:hAnsi="仿宋" w:eastAsia="仿宋" w:cs="仿宋"/>
          <w:b/>
          <w:bCs/>
          <w:sz w:val="32"/>
          <w:szCs w:val="32"/>
          <w:highlight w:val="none"/>
          <w:u w:val="none"/>
        </w:rPr>
      </w:pPr>
      <w:r>
        <w:rPr>
          <w:rFonts w:hint="eastAsia" w:ascii="仿宋" w:hAnsi="仿宋" w:eastAsia="仿宋" w:cs="仿宋"/>
          <w:b/>
          <w:bCs/>
          <w:sz w:val="32"/>
          <w:szCs w:val="32"/>
          <w:highlight w:val="none"/>
          <w:u w:val="none"/>
        </w:rPr>
        <w:t>（二）支出预算总计</w:t>
      </w:r>
      <w:r>
        <w:rPr>
          <w:rFonts w:hint="eastAsia" w:ascii="仿宋" w:hAnsi="仿宋" w:eastAsia="仿宋" w:cs="仿宋"/>
          <w:b/>
          <w:bCs/>
          <w:sz w:val="32"/>
          <w:szCs w:val="32"/>
          <w:u w:val="none"/>
        </w:rPr>
        <w:t>307,323.37</w:t>
      </w:r>
      <w:r>
        <w:rPr>
          <w:rFonts w:hint="eastAsia" w:ascii="仿宋" w:hAnsi="仿宋" w:eastAsia="仿宋" w:cs="仿宋"/>
          <w:b/>
          <w:bCs/>
          <w:sz w:val="32"/>
          <w:szCs w:val="32"/>
          <w:highlight w:val="none"/>
          <w:u w:val="none"/>
        </w:rPr>
        <w:t>万元。包括：</w:t>
      </w:r>
    </w:p>
    <w:p>
      <w:pPr>
        <w:pStyle w:val="10"/>
        <w:keepNext w:val="0"/>
        <w:keepLines w:val="0"/>
        <w:pageBreakBefore w:val="0"/>
        <w:widowControl w:val="0"/>
        <w:tabs>
          <w:tab w:val="left" w:pos="3792"/>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1．本年支出合计</w:t>
      </w:r>
      <w:r>
        <w:rPr>
          <w:rFonts w:hint="eastAsia" w:ascii="仿宋" w:hAnsi="仿宋" w:eastAsia="仿宋" w:cs="仿宋"/>
          <w:sz w:val="32"/>
          <w:szCs w:val="32"/>
          <w:u w:val="none"/>
        </w:rPr>
        <w:t>307,323.37</w:t>
      </w:r>
      <w:r>
        <w:rPr>
          <w:rFonts w:hint="eastAsia" w:ascii="仿宋" w:hAnsi="仿宋" w:eastAsia="仿宋" w:cs="仿宋"/>
          <w:sz w:val="32"/>
          <w:szCs w:val="32"/>
          <w:highlight w:val="none"/>
          <w:u w:val="none"/>
        </w:rPr>
        <w:t>万元。</w:t>
      </w:r>
    </w:p>
    <w:p>
      <w:pPr>
        <w:pStyle w:val="10"/>
        <w:keepNext w:val="0"/>
        <w:keepLines w:val="0"/>
        <w:pageBreakBefore w:val="0"/>
        <w:widowControl w:val="0"/>
        <w:tabs>
          <w:tab w:val="left" w:pos="3288"/>
          <w:tab w:val="left" w:pos="5641"/>
          <w:tab w:val="left" w:pos="6778"/>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（1）科学技术支出（类）支出</w:t>
      </w:r>
      <w:r>
        <w:rPr>
          <w:rFonts w:hint="eastAsia" w:ascii="仿宋" w:hAnsi="仿宋" w:eastAsia="仿宋" w:cs="仿宋"/>
          <w:sz w:val="32"/>
          <w:szCs w:val="32"/>
          <w:highlight w:val="none"/>
          <w:u w:val="none"/>
          <w:lang w:val="en-US" w:eastAsia="zh-CN"/>
        </w:rPr>
        <w:t>2,365.90</w:t>
      </w:r>
      <w:r>
        <w:rPr>
          <w:rFonts w:hint="eastAsia" w:ascii="仿宋" w:hAnsi="仿宋" w:eastAsia="仿宋" w:cs="仿宋"/>
          <w:sz w:val="32"/>
          <w:szCs w:val="32"/>
          <w:highlight w:val="none"/>
          <w:u w:val="none"/>
        </w:rPr>
        <w:t>万元，主要用于</w:t>
      </w:r>
      <w:r>
        <w:rPr>
          <w:rFonts w:hint="eastAsia" w:ascii="仿宋" w:hAnsi="仿宋" w:eastAsia="仿宋" w:cs="仿宋"/>
          <w:sz w:val="32"/>
          <w:szCs w:val="32"/>
          <w:u w:val="none"/>
          <w:lang w:val="en-US" w:eastAsia="zh-CN"/>
        </w:rPr>
        <w:t>自然科学基金项目、应用研究项目、科技成果转化项目、</w:t>
      </w:r>
      <w:r>
        <w:rPr>
          <w:rFonts w:hint="eastAsia" w:ascii="仿宋" w:hAnsi="仿宋" w:eastAsia="仿宋" w:cs="仿宋"/>
          <w:sz w:val="32"/>
          <w:szCs w:val="32"/>
          <w:highlight w:val="none"/>
          <w:u w:val="none"/>
          <w:lang w:val="en-US" w:eastAsia="zh-CN"/>
        </w:rPr>
        <w:t>科技成果转化项目</w:t>
      </w:r>
      <w:r>
        <w:rPr>
          <w:rFonts w:hint="eastAsia" w:ascii="仿宋" w:hAnsi="仿宋" w:eastAsia="仿宋" w:cs="仿宋"/>
          <w:sz w:val="32"/>
          <w:szCs w:val="32"/>
          <w:highlight w:val="none"/>
          <w:u w:val="none"/>
        </w:rPr>
        <w:t>。与上年相比增加</w:t>
      </w:r>
      <w:r>
        <w:rPr>
          <w:rFonts w:hint="eastAsia" w:ascii="仿宋" w:hAnsi="仿宋" w:eastAsia="仿宋" w:cs="仿宋"/>
          <w:sz w:val="32"/>
          <w:szCs w:val="32"/>
          <w:highlight w:val="none"/>
          <w:u w:val="none"/>
          <w:lang w:val="en-US" w:eastAsia="zh-CN"/>
        </w:rPr>
        <w:t>947.22</w:t>
      </w:r>
      <w:r>
        <w:rPr>
          <w:rFonts w:hint="eastAsia" w:ascii="仿宋" w:hAnsi="仿宋" w:eastAsia="仿宋" w:cs="仿宋"/>
          <w:sz w:val="32"/>
          <w:szCs w:val="32"/>
          <w:highlight w:val="none"/>
          <w:u w:val="none"/>
        </w:rPr>
        <w:t>万元，增长</w:t>
      </w:r>
      <w:r>
        <w:rPr>
          <w:rFonts w:hint="eastAsia" w:ascii="仿宋" w:hAnsi="仿宋" w:eastAsia="仿宋" w:cs="仿宋"/>
          <w:sz w:val="32"/>
          <w:szCs w:val="32"/>
          <w:highlight w:val="none"/>
          <w:u w:val="none"/>
          <w:lang w:val="en-US" w:eastAsia="zh-CN"/>
        </w:rPr>
        <w:t>66.77</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。主要原因是</w:t>
      </w:r>
      <w:r>
        <w:rPr>
          <w:rFonts w:hint="eastAsia" w:ascii="仿宋" w:hAnsi="仿宋" w:eastAsia="仿宋" w:cs="仿宋"/>
          <w:sz w:val="32"/>
          <w:szCs w:val="32"/>
          <w:u w:val="none"/>
          <w:lang w:val="en-US" w:eastAsia="zh-CN"/>
        </w:rPr>
        <w:t>医院科研能力提升，自然科学基金项目、应用研究项目较上年有所增多</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（2）社会保障和就业支出（类）支出</w:t>
      </w:r>
      <w:r>
        <w:rPr>
          <w:rFonts w:hint="eastAsia" w:ascii="仿宋" w:hAnsi="仿宋" w:eastAsia="仿宋" w:cs="仿宋"/>
          <w:sz w:val="32"/>
          <w:szCs w:val="32"/>
          <w:highlight w:val="none"/>
          <w:u w:val="none"/>
          <w:lang w:val="en-US" w:eastAsia="zh-CN"/>
        </w:rPr>
        <w:t>11,472.59</w:t>
      </w:r>
      <w:r>
        <w:rPr>
          <w:rFonts w:hint="eastAsia" w:ascii="仿宋" w:hAnsi="仿宋" w:eastAsia="仿宋" w:cs="仿宋"/>
          <w:sz w:val="32"/>
          <w:szCs w:val="32"/>
          <w:highlight w:val="none"/>
          <w:u w:val="none"/>
        </w:rPr>
        <w:t>万元，主要用于</w:t>
      </w:r>
      <w:r>
        <w:rPr>
          <w:rFonts w:hint="eastAsia" w:ascii="仿宋" w:hAnsi="仿宋" w:eastAsia="仿宋" w:cs="仿宋"/>
          <w:sz w:val="32"/>
          <w:szCs w:val="32"/>
          <w:highlight w:val="none"/>
          <w:u w:val="none"/>
          <w:lang w:eastAsia="zh-CN"/>
        </w:rPr>
        <w:t>基本养老保险缴费、职业年金缴费、离退休经费</w:t>
      </w:r>
      <w:r>
        <w:rPr>
          <w:rFonts w:hint="eastAsia" w:ascii="仿宋" w:hAnsi="仿宋" w:eastAsia="仿宋" w:cs="仿宋"/>
          <w:sz w:val="32"/>
          <w:szCs w:val="32"/>
          <w:highlight w:val="none"/>
          <w:u w:val="none"/>
          <w:lang w:val="en-US" w:eastAsia="zh-CN"/>
        </w:rPr>
        <w:t>等项目</w:t>
      </w:r>
      <w:r>
        <w:rPr>
          <w:rFonts w:hint="eastAsia" w:ascii="仿宋" w:hAnsi="仿宋" w:eastAsia="仿宋" w:cs="仿宋"/>
          <w:sz w:val="32"/>
          <w:szCs w:val="32"/>
          <w:highlight w:val="none"/>
          <w:u w:val="none"/>
        </w:rPr>
        <w:t>。与上年相比增加</w:t>
      </w:r>
      <w:r>
        <w:rPr>
          <w:rFonts w:hint="eastAsia" w:ascii="仿宋" w:hAnsi="仿宋" w:eastAsia="仿宋" w:cs="仿宋"/>
          <w:sz w:val="32"/>
          <w:szCs w:val="32"/>
          <w:highlight w:val="none"/>
          <w:u w:val="none"/>
          <w:lang w:val="en-US" w:eastAsia="zh-CN"/>
        </w:rPr>
        <w:t>2,410.59</w:t>
      </w:r>
      <w:r>
        <w:rPr>
          <w:rFonts w:hint="eastAsia" w:ascii="仿宋" w:hAnsi="仿宋" w:eastAsia="仿宋" w:cs="仿宋"/>
          <w:sz w:val="32"/>
          <w:szCs w:val="32"/>
          <w:highlight w:val="none"/>
          <w:u w:val="none"/>
        </w:rPr>
        <w:t>万元，增长</w:t>
      </w:r>
      <w:r>
        <w:rPr>
          <w:rFonts w:hint="eastAsia" w:ascii="仿宋" w:hAnsi="仿宋" w:eastAsia="仿宋" w:cs="仿宋"/>
          <w:sz w:val="32"/>
          <w:szCs w:val="32"/>
          <w:highlight w:val="none"/>
          <w:u w:val="none"/>
          <w:lang w:val="en-US" w:eastAsia="zh-CN"/>
        </w:rPr>
        <w:t>26.60</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。主要原因是</w:t>
      </w:r>
      <w:r>
        <w:rPr>
          <w:rFonts w:hint="eastAsia" w:ascii="仿宋" w:hAnsi="仿宋" w:eastAsia="仿宋" w:cs="仿宋"/>
          <w:sz w:val="32"/>
          <w:szCs w:val="32"/>
          <w:highlight w:val="none"/>
          <w:u w:val="none"/>
          <w:lang w:eastAsia="zh-CN"/>
        </w:rPr>
        <w:t>基本养老保险缴费、职业年金缴费、</w:t>
      </w:r>
      <w:r>
        <w:rPr>
          <w:rFonts w:hint="eastAsia" w:ascii="仿宋" w:hAnsi="仿宋" w:eastAsia="仿宋" w:cs="仿宋"/>
          <w:sz w:val="32"/>
          <w:szCs w:val="32"/>
          <w:u w:val="none"/>
          <w:lang w:val="en-US" w:eastAsia="zh-CN"/>
        </w:rPr>
        <w:t>离退休职工经费增加</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w:t>
      </w:r>
      <w:r>
        <w:rPr>
          <w:rFonts w:hint="eastAsia" w:ascii="仿宋" w:hAnsi="仿宋" w:eastAsia="仿宋" w:cs="仿宋"/>
          <w:sz w:val="32"/>
          <w:szCs w:val="32"/>
          <w:highlight w:val="none"/>
          <w:u w:val="none"/>
          <w:lang w:val="en-US" w:eastAsia="zh-CN"/>
        </w:rPr>
        <w:t>3</w:t>
      </w:r>
      <w:r>
        <w:rPr>
          <w:rFonts w:hint="eastAsia" w:ascii="仿宋" w:hAnsi="仿宋" w:eastAsia="仿宋" w:cs="仿宋"/>
          <w:sz w:val="32"/>
          <w:szCs w:val="32"/>
          <w:highlight w:val="none"/>
          <w:u w:val="none"/>
        </w:rPr>
        <w:t>）卫生健康支出（类）支出</w:t>
      </w:r>
      <w:r>
        <w:rPr>
          <w:rFonts w:hint="eastAsia" w:ascii="仿宋" w:hAnsi="仿宋" w:eastAsia="仿宋" w:cs="仿宋"/>
          <w:sz w:val="32"/>
          <w:szCs w:val="32"/>
          <w:u w:val="none"/>
        </w:rPr>
        <w:t>288,484.87</w:t>
      </w:r>
      <w:r>
        <w:rPr>
          <w:rFonts w:hint="eastAsia" w:ascii="仿宋" w:hAnsi="仿宋" w:eastAsia="仿宋" w:cs="仿宋"/>
          <w:sz w:val="32"/>
          <w:szCs w:val="32"/>
          <w:highlight w:val="none"/>
          <w:u w:val="none"/>
        </w:rPr>
        <w:t>万元，主要用于</w:t>
      </w:r>
      <w:r>
        <w:rPr>
          <w:rFonts w:hint="eastAsia" w:ascii="仿宋" w:hAnsi="仿宋" w:eastAsia="仿宋" w:cs="仿宋"/>
          <w:sz w:val="32"/>
          <w:szCs w:val="32"/>
          <w:highlight w:val="none"/>
          <w:u w:val="none"/>
          <w:lang w:eastAsia="zh-CN"/>
        </w:rPr>
        <w:t>工资津补贴、</w:t>
      </w:r>
      <w:r>
        <w:rPr>
          <w:rFonts w:hint="eastAsia" w:ascii="仿宋" w:hAnsi="仿宋" w:eastAsia="仿宋" w:cs="仿宋"/>
          <w:sz w:val="32"/>
          <w:szCs w:val="32"/>
          <w:highlight w:val="none"/>
          <w:u w:val="none"/>
          <w:lang w:val="en-US" w:eastAsia="zh-CN"/>
        </w:rPr>
        <w:t>一般公用经费等项目</w:t>
      </w:r>
      <w:r>
        <w:rPr>
          <w:rFonts w:hint="eastAsia" w:ascii="仿宋" w:hAnsi="仿宋" w:eastAsia="仿宋" w:cs="仿宋"/>
          <w:sz w:val="32"/>
          <w:szCs w:val="32"/>
          <w:highlight w:val="none"/>
          <w:u w:val="none"/>
        </w:rPr>
        <w:t>。与上年相比增加</w:t>
      </w:r>
      <w:r>
        <w:rPr>
          <w:rFonts w:hint="eastAsia" w:ascii="仿宋" w:hAnsi="仿宋" w:eastAsia="仿宋" w:cs="仿宋"/>
          <w:sz w:val="32"/>
          <w:szCs w:val="32"/>
          <w:highlight w:val="none"/>
          <w:u w:val="none"/>
          <w:lang w:val="en-US" w:eastAsia="zh-CN"/>
        </w:rPr>
        <w:t>24,445.27</w:t>
      </w:r>
      <w:r>
        <w:rPr>
          <w:rFonts w:hint="eastAsia" w:ascii="仿宋" w:hAnsi="仿宋" w:eastAsia="仿宋" w:cs="仿宋"/>
          <w:sz w:val="32"/>
          <w:szCs w:val="32"/>
          <w:highlight w:val="none"/>
          <w:u w:val="none"/>
        </w:rPr>
        <w:t>万元，增长</w:t>
      </w:r>
      <w:r>
        <w:rPr>
          <w:rFonts w:hint="eastAsia" w:ascii="仿宋" w:hAnsi="仿宋" w:eastAsia="仿宋" w:cs="仿宋"/>
          <w:sz w:val="32"/>
          <w:szCs w:val="32"/>
          <w:highlight w:val="none"/>
          <w:u w:val="none"/>
          <w:lang w:val="en-US" w:eastAsia="zh-CN"/>
        </w:rPr>
        <w:t>9.26</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。主要原因是</w:t>
      </w:r>
      <w:r>
        <w:rPr>
          <w:rFonts w:hint="eastAsia" w:ascii="仿宋" w:hAnsi="仿宋" w:eastAsia="仿宋" w:cs="仿宋"/>
          <w:sz w:val="32"/>
          <w:szCs w:val="32"/>
          <w:highlight w:val="none"/>
          <w:u w:val="none"/>
          <w:lang w:val="en-US" w:eastAsia="zh-CN"/>
        </w:rPr>
        <w:t>该类支出主要资金来源为事业收入，</w:t>
      </w:r>
      <w:r>
        <w:rPr>
          <w:rFonts w:hint="eastAsia" w:ascii="仿宋" w:hAnsi="仿宋" w:eastAsia="仿宋" w:cs="仿宋"/>
          <w:sz w:val="32"/>
          <w:szCs w:val="32"/>
          <w:u w:val="none"/>
        </w:rPr>
        <w:t>根据2022年预算实际执行情况，结合2023年医院发展战略及医院“十四五”发展规划，考虑国家政策及医院收入增长因素，经充分测算论证后</w:t>
      </w:r>
      <w:r>
        <w:rPr>
          <w:rFonts w:hint="eastAsia" w:ascii="仿宋" w:hAnsi="仿宋" w:eastAsia="仿宋" w:cs="仿宋"/>
          <w:sz w:val="32"/>
          <w:szCs w:val="32"/>
          <w:u w:val="none"/>
          <w:lang w:eastAsia="zh-CN"/>
        </w:rPr>
        <w:t>，</w:t>
      </w:r>
      <w:r>
        <w:rPr>
          <w:rFonts w:hint="eastAsia" w:ascii="仿宋" w:hAnsi="仿宋" w:eastAsia="仿宋" w:cs="仿宋"/>
          <w:sz w:val="32"/>
          <w:szCs w:val="32"/>
          <w:u w:val="none"/>
          <w:lang w:val="en-US" w:eastAsia="zh-CN"/>
        </w:rPr>
        <w:t>根据以收定支原则</w:t>
      </w:r>
      <w:r>
        <w:rPr>
          <w:rFonts w:hint="eastAsia" w:ascii="仿宋" w:hAnsi="仿宋" w:eastAsia="仿宋" w:cs="仿宋"/>
          <w:sz w:val="32"/>
          <w:szCs w:val="32"/>
          <w:u w:val="none"/>
        </w:rPr>
        <w:t>编制</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w:t>
      </w:r>
      <w:r>
        <w:rPr>
          <w:rFonts w:hint="eastAsia" w:ascii="仿宋" w:hAnsi="仿宋" w:eastAsia="仿宋" w:cs="仿宋"/>
          <w:sz w:val="32"/>
          <w:szCs w:val="32"/>
          <w:highlight w:val="none"/>
          <w:u w:val="none"/>
          <w:lang w:val="en-US" w:eastAsia="zh-CN"/>
        </w:rPr>
        <w:t>4</w:t>
      </w:r>
      <w:r>
        <w:rPr>
          <w:rFonts w:hint="eastAsia" w:ascii="仿宋" w:hAnsi="仿宋" w:eastAsia="仿宋" w:cs="仿宋"/>
          <w:sz w:val="32"/>
          <w:szCs w:val="32"/>
          <w:highlight w:val="none"/>
          <w:u w:val="none"/>
        </w:rPr>
        <w:t>）住房保障支出（类）支出</w:t>
      </w:r>
      <w:r>
        <w:rPr>
          <w:rFonts w:hint="eastAsia" w:ascii="仿宋" w:hAnsi="仿宋" w:eastAsia="仿宋" w:cs="仿宋"/>
          <w:sz w:val="32"/>
          <w:szCs w:val="32"/>
          <w:highlight w:val="none"/>
          <w:u w:val="none"/>
          <w:lang w:val="en-US" w:eastAsia="zh-CN"/>
        </w:rPr>
        <w:t>5,000</w:t>
      </w:r>
      <w:r>
        <w:rPr>
          <w:rFonts w:hint="eastAsia" w:ascii="仿宋" w:hAnsi="仿宋" w:eastAsia="仿宋" w:cs="仿宋"/>
          <w:sz w:val="32"/>
          <w:szCs w:val="32"/>
          <w:highlight w:val="none"/>
          <w:u w:val="none"/>
        </w:rPr>
        <w:t>万元，主要用于</w:t>
      </w:r>
      <w:r>
        <w:rPr>
          <w:rFonts w:hint="eastAsia" w:ascii="仿宋" w:hAnsi="仿宋" w:eastAsia="仿宋" w:cs="仿宋"/>
          <w:sz w:val="32"/>
          <w:szCs w:val="32"/>
          <w:highlight w:val="none"/>
          <w:u w:val="none"/>
          <w:lang w:val="en-US" w:eastAsia="zh-CN"/>
        </w:rPr>
        <w:t>住房公积金项目</w:t>
      </w:r>
      <w:r>
        <w:rPr>
          <w:rFonts w:hint="eastAsia" w:ascii="仿宋" w:hAnsi="仿宋" w:eastAsia="仿宋" w:cs="仿宋"/>
          <w:sz w:val="32"/>
          <w:szCs w:val="32"/>
          <w:highlight w:val="none"/>
          <w:u w:val="none"/>
        </w:rPr>
        <w:t>。与上年相比增加</w:t>
      </w:r>
      <w:r>
        <w:rPr>
          <w:rFonts w:hint="eastAsia" w:ascii="仿宋" w:hAnsi="仿宋" w:eastAsia="仿宋" w:cs="仿宋"/>
          <w:sz w:val="32"/>
          <w:szCs w:val="32"/>
          <w:highlight w:val="none"/>
          <w:u w:val="none"/>
          <w:lang w:val="en-US" w:eastAsia="zh-CN"/>
        </w:rPr>
        <w:t>2,300</w:t>
      </w:r>
      <w:r>
        <w:rPr>
          <w:rFonts w:hint="eastAsia" w:ascii="仿宋" w:hAnsi="仿宋" w:eastAsia="仿宋" w:cs="仿宋"/>
          <w:sz w:val="32"/>
          <w:szCs w:val="32"/>
          <w:highlight w:val="none"/>
          <w:u w:val="none"/>
        </w:rPr>
        <w:t>万元，增长</w:t>
      </w:r>
      <w:r>
        <w:rPr>
          <w:rFonts w:hint="eastAsia" w:ascii="仿宋" w:hAnsi="仿宋" w:eastAsia="仿宋" w:cs="仿宋"/>
          <w:sz w:val="32"/>
          <w:szCs w:val="32"/>
          <w:highlight w:val="none"/>
          <w:u w:val="none"/>
          <w:lang w:val="en-US" w:eastAsia="zh-CN"/>
        </w:rPr>
        <w:t>85.19</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。主要原因是</w:t>
      </w:r>
      <w:r>
        <w:rPr>
          <w:rFonts w:hint="eastAsia" w:ascii="仿宋" w:hAnsi="仿宋" w:eastAsia="仿宋" w:cs="仿宋"/>
          <w:sz w:val="32"/>
          <w:szCs w:val="32"/>
          <w:highlight w:val="none"/>
          <w:u w:val="none"/>
          <w:lang w:val="en-US" w:eastAsia="zh-CN"/>
        </w:rPr>
        <w:t>根据医院人员数量及基数增加情况的合理预计</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4112"/>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2．年终结转结余</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万元，主要原因是</w:t>
      </w:r>
      <w:r>
        <w:rPr>
          <w:rFonts w:hint="eastAsia" w:ascii="仿宋" w:hAnsi="仿宋" w:eastAsia="仿宋" w:cs="仿宋"/>
          <w:sz w:val="32"/>
          <w:szCs w:val="32"/>
          <w:highlight w:val="none"/>
          <w:u w:val="none"/>
          <w:lang w:val="en-US" w:eastAsia="zh-CN"/>
        </w:rPr>
        <w:t>本单位无</w:t>
      </w:r>
      <w:r>
        <w:rPr>
          <w:rFonts w:hint="eastAsia" w:ascii="仿宋" w:hAnsi="仿宋" w:eastAsia="仿宋" w:cs="仿宋"/>
          <w:sz w:val="32"/>
          <w:szCs w:val="32"/>
          <w:highlight w:val="none"/>
          <w:u w:val="none"/>
        </w:rPr>
        <w:t>年终结转结余。</w:t>
      </w:r>
    </w:p>
    <w:p>
      <w:pPr>
        <w:pStyle w:val="4"/>
        <w:bidi w:val="0"/>
        <w:rPr>
          <w:rFonts w:hint="eastAsia"/>
        </w:rPr>
      </w:pPr>
      <w:r>
        <w:rPr>
          <w:rFonts w:hint="eastAsia"/>
        </w:rPr>
        <w:t>二、收入预算情况说明</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lang w:val="en-US" w:eastAsia="zh-CN"/>
        </w:rPr>
        <w:t>内蒙古自治区人民医院2023</w:t>
      </w:r>
      <w:r>
        <w:rPr>
          <w:rFonts w:hint="eastAsia" w:ascii="仿宋" w:hAnsi="仿宋" w:eastAsia="仿宋" w:cs="仿宋"/>
          <w:sz w:val="32"/>
          <w:szCs w:val="32"/>
          <w:highlight w:val="none"/>
          <w:u w:val="none"/>
        </w:rPr>
        <w:t>年度收入预算</w:t>
      </w:r>
      <w:r>
        <w:rPr>
          <w:rFonts w:hint="eastAsia" w:ascii="仿宋" w:hAnsi="仿宋" w:eastAsia="仿宋" w:cs="仿宋"/>
          <w:sz w:val="32"/>
          <w:szCs w:val="32"/>
          <w:highlight w:val="none"/>
          <w:u w:val="none"/>
          <w:lang w:val="en-US" w:eastAsia="zh-CN"/>
        </w:rPr>
        <w:t>总</w:t>
      </w:r>
      <w:r>
        <w:rPr>
          <w:rFonts w:hint="eastAsia" w:ascii="仿宋" w:hAnsi="仿宋" w:eastAsia="仿宋" w:cs="仿宋"/>
          <w:sz w:val="32"/>
          <w:szCs w:val="32"/>
          <w:highlight w:val="none"/>
          <w:u w:val="none"/>
        </w:rPr>
        <w:t>计307,323.37万元，包括本年收入296,461.71万元，上年结转结余10,861.65万元。其中：</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本年一般公共预算收入8,065.61万元，占</w:t>
      </w:r>
      <w:r>
        <w:rPr>
          <w:rFonts w:hint="eastAsia" w:ascii="仿宋" w:hAnsi="仿宋" w:eastAsia="仿宋" w:cs="仿宋"/>
          <w:sz w:val="32"/>
          <w:szCs w:val="32"/>
          <w:highlight w:val="none"/>
          <w:u w:val="none"/>
          <w:lang w:val="en-US" w:eastAsia="zh-CN"/>
        </w:rPr>
        <w:t>2.62</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本年政府性基金预算收入</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万元，占</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本年国有资本经营预算收入</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万元，占</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本年财政专户管理资金</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万元，占</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本年事业收入288,396.10万元，占</w:t>
      </w:r>
      <w:r>
        <w:rPr>
          <w:rFonts w:hint="eastAsia" w:ascii="仿宋" w:hAnsi="仿宋" w:eastAsia="仿宋" w:cs="仿宋"/>
          <w:sz w:val="32"/>
          <w:szCs w:val="32"/>
          <w:highlight w:val="none"/>
          <w:u w:val="none"/>
          <w:lang w:val="en-US" w:eastAsia="zh-CN"/>
        </w:rPr>
        <w:t>93.85</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本年事业单位经营收入</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万元，占</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本年上级补助收入</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万元，占</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本年附属单位上缴收入</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万元，占</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本年其他收入</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万元，占</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上年结转结余的一般公共预算收入10,861.65万元，占</w:t>
      </w:r>
      <w:r>
        <w:rPr>
          <w:rFonts w:hint="eastAsia" w:ascii="仿宋" w:hAnsi="仿宋" w:eastAsia="仿宋" w:cs="仿宋"/>
          <w:sz w:val="32"/>
          <w:szCs w:val="32"/>
          <w:highlight w:val="none"/>
          <w:u w:val="none"/>
          <w:lang w:val="en-US" w:eastAsia="zh-CN"/>
        </w:rPr>
        <w:t>3.53</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上年结转结余的政府性基金预算收入</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万元，占</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上年结转结余的国有资本经营预算收入</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万元，占</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上年结转结余的财政专户管理资金</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万元，占</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lang w:eastAsia="zh-CN"/>
        </w:rPr>
      </w:pPr>
      <w:r>
        <w:rPr>
          <w:rFonts w:hint="eastAsia" w:ascii="仿宋" w:hAnsi="仿宋" w:eastAsia="仿宋" w:cs="仿宋"/>
          <w:sz w:val="32"/>
          <w:szCs w:val="32"/>
          <w:highlight w:val="none"/>
          <w:u w:val="none"/>
        </w:rPr>
        <w:t>上年结转结余的单位资金</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万元，占</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lang w:eastAsia="zh-CN"/>
        </w:rPr>
        <w:t>%。</w:t>
      </w:r>
    </w:p>
    <w:p>
      <w:pPr>
        <w:pStyle w:val="2"/>
        <w:tabs>
          <w:tab w:val="left" w:pos="0"/>
        </w:tabs>
        <w:ind w:left="0" w:leftChars="0" w:firstLine="0"/>
        <w:jc w:val="center"/>
        <w:rPr>
          <w:rFonts w:eastAsia="仿宋_GB2312"/>
          <w:sz w:val="32"/>
          <w:szCs w:val="32"/>
          <w:highlight w:val="none"/>
          <w:u w:val="none"/>
        </w:rPr>
      </w:pPr>
      <w:r>
        <w:rPr>
          <w:u w:val="none"/>
        </w:rPr>
        <w:drawing>
          <wp:inline distT="0" distB="0" distL="114300" distR="114300">
            <wp:extent cx="5750560" cy="2803525"/>
            <wp:effectExtent l="4445" t="4445" r="17145" b="1143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2"/>
        <w:keepNext w:val="0"/>
        <w:keepLines w:val="0"/>
        <w:pageBreakBefore w:val="0"/>
        <w:widowControl w:val="0"/>
        <w:tabs>
          <w:tab w:val="left" w:pos="0"/>
        </w:tabs>
        <w:kinsoku/>
        <w:wordWrap/>
        <w:overflowPunct/>
        <w:topLinePunct w:val="0"/>
        <w:autoSpaceDE/>
        <w:autoSpaceDN/>
        <w:bidi w:val="0"/>
        <w:adjustRightInd/>
        <w:snapToGrid/>
        <w:spacing w:after="0"/>
        <w:ind w:left="0" w:leftChars="0" w:firstLine="0"/>
        <w:jc w:val="center"/>
        <w:textAlignment w:val="auto"/>
        <w:rPr>
          <w:rFonts w:hint="eastAsia" w:ascii="仿宋" w:hAnsi="仿宋" w:eastAsia="仿宋" w:cs="仿宋"/>
          <w:sz w:val="32"/>
          <w:szCs w:val="32"/>
          <w:highlight w:val="none"/>
          <w:u w:val="none"/>
          <w:lang w:eastAsia="zh-CN"/>
        </w:rPr>
      </w:pPr>
      <w:r>
        <w:rPr>
          <w:rFonts w:hint="eastAsia" w:ascii="仿宋" w:hAnsi="仿宋" w:eastAsia="仿宋" w:cs="仿宋"/>
          <w:sz w:val="32"/>
          <w:szCs w:val="32"/>
          <w:highlight w:val="none"/>
          <w:u w:val="none"/>
        </w:rPr>
        <w:t>图1.收入预算图</w:t>
      </w:r>
    </w:p>
    <w:p>
      <w:pPr>
        <w:pStyle w:val="4"/>
        <w:bidi w:val="0"/>
      </w:pPr>
      <w:r>
        <w:rPr>
          <w:rFonts w:hint="eastAsia"/>
        </w:rPr>
        <w:t>三、支出预算情况说明</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lang w:eastAsia="zh-CN"/>
        </w:rPr>
      </w:pPr>
      <w:r>
        <w:rPr>
          <w:rFonts w:hint="eastAsia" w:ascii="仿宋" w:hAnsi="仿宋" w:eastAsia="仿宋" w:cs="仿宋"/>
          <w:sz w:val="32"/>
          <w:szCs w:val="32"/>
          <w:highlight w:val="none"/>
          <w:u w:val="none"/>
          <w:lang w:val="en-US" w:eastAsia="zh-CN"/>
        </w:rPr>
        <w:t>内蒙古自治区人民医院2023</w:t>
      </w:r>
      <w:r>
        <w:rPr>
          <w:rFonts w:hint="eastAsia" w:ascii="仿宋" w:hAnsi="仿宋" w:eastAsia="仿宋" w:cs="仿宋"/>
          <w:sz w:val="32"/>
          <w:szCs w:val="32"/>
          <w:highlight w:val="none"/>
          <w:u w:val="none"/>
        </w:rPr>
        <w:t>年度支出预算合计307,323.37万元，其中</w:t>
      </w:r>
      <w:r>
        <w:rPr>
          <w:rFonts w:hint="eastAsia" w:ascii="仿宋" w:hAnsi="仿宋" w:eastAsia="仿宋" w:cs="仿宋"/>
          <w:sz w:val="32"/>
          <w:szCs w:val="32"/>
          <w:highlight w:val="none"/>
          <w:u w:val="none"/>
          <w:lang w:eastAsia="zh-CN"/>
        </w:rPr>
        <w:t>：</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lang w:eastAsia="zh-CN"/>
        </w:rPr>
      </w:pPr>
      <w:r>
        <w:rPr>
          <w:rFonts w:hint="eastAsia" w:ascii="仿宋" w:hAnsi="仿宋" w:eastAsia="仿宋" w:cs="仿宋"/>
          <w:sz w:val="32"/>
          <w:szCs w:val="32"/>
          <w:highlight w:val="none"/>
          <w:u w:val="none"/>
        </w:rPr>
        <w:t>基本支出294,773.71万元，占</w:t>
      </w:r>
      <w:r>
        <w:rPr>
          <w:rFonts w:hint="eastAsia" w:ascii="仿宋" w:hAnsi="仿宋" w:eastAsia="仿宋" w:cs="仿宋"/>
          <w:sz w:val="32"/>
          <w:szCs w:val="32"/>
          <w:highlight w:val="none"/>
          <w:u w:val="none"/>
          <w:lang w:val="en-US" w:eastAsia="zh-CN"/>
        </w:rPr>
        <w:t>95.92</w:t>
      </w:r>
      <w:r>
        <w:rPr>
          <w:rFonts w:hint="eastAsia" w:ascii="仿宋" w:hAnsi="仿宋" w:eastAsia="仿宋" w:cs="仿宋"/>
          <w:sz w:val="32"/>
          <w:szCs w:val="32"/>
          <w:highlight w:val="none"/>
          <w:u w:val="none"/>
          <w:lang w:eastAsia="zh-CN"/>
        </w:rPr>
        <w:t>%；</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项目支出12,549.65万元，占</w:t>
      </w:r>
      <w:r>
        <w:rPr>
          <w:rFonts w:hint="eastAsia" w:ascii="仿宋" w:hAnsi="仿宋" w:eastAsia="仿宋" w:cs="仿宋"/>
          <w:sz w:val="32"/>
          <w:szCs w:val="32"/>
          <w:highlight w:val="none"/>
          <w:u w:val="none"/>
          <w:lang w:val="en-US" w:eastAsia="zh-CN"/>
        </w:rPr>
        <w:t>4.08</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事业单位经营支出</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万元，占</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上缴上级支出</w:t>
      </w:r>
      <w:r>
        <w:rPr>
          <w:rFonts w:hint="eastAsia" w:ascii="仿宋" w:hAnsi="仿宋" w:eastAsia="仿宋" w:cs="仿宋"/>
          <w:sz w:val="32"/>
          <w:szCs w:val="32"/>
          <w:highlight w:val="none"/>
          <w:u w:val="none"/>
        </w:rPr>
        <w:tab/>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万元，占</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对附属单位补助支出</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rPr>
        <w:t>万元，占</w:t>
      </w:r>
      <w:r>
        <w:rPr>
          <w:rFonts w:hint="eastAsia" w:ascii="仿宋" w:hAnsi="仿宋" w:eastAsia="仿宋" w:cs="仿宋"/>
          <w:sz w:val="32"/>
          <w:szCs w:val="32"/>
          <w:highlight w:val="none"/>
          <w:u w:val="none"/>
          <w:lang w:val="en-US" w:eastAsia="zh-CN"/>
        </w:rPr>
        <w:t>0</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w:t>
      </w:r>
    </w:p>
    <w:p>
      <w:pPr>
        <w:pStyle w:val="2"/>
        <w:ind w:left="0" w:leftChars="0" w:firstLine="220"/>
        <w:jc w:val="center"/>
        <w:rPr>
          <w:rFonts w:hint="default" w:eastAsia="仿宋_GB2312"/>
          <w:sz w:val="32"/>
          <w:szCs w:val="32"/>
          <w:highlight w:val="none"/>
          <w:u w:val="none"/>
        </w:rPr>
      </w:pPr>
      <w:r>
        <w:rPr>
          <w:u w:val="none"/>
        </w:rPr>
        <w:drawing>
          <wp:inline distT="0" distB="0" distL="114300" distR="114300">
            <wp:extent cx="5291455" cy="2618740"/>
            <wp:effectExtent l="4445" t="4445" r="19050" b="5715"/>
            <wp:docPr id="6"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2"/>
        <w:keepNext w:val="0"/>
        <w:keepLines w:val="0"/>
        <w:pageBreakBefore w:val="0"/>
        <w:widowControl w:val="0"/>
        <w:kinsoku/>
        <w:wordWrap/>
        <w:overflowPunct/>
        <w:topLinePunct w:val="0"/>
        <w:autoSpaceDE/>
        <w:autoSpaceDN/>
        <w:bidi w:val="0"/>
        <w:adjustRightInd/>
        <w:snapToGrid/>
        <w:spacing w:after="0"/>
        <w:ind w:left="0" w:leftChars="0" w:firstLine="221"/>
        <w:jc w:val="center"/>
        <w:textAlignment w:val="auto"/>
        <w:rPr>
          <w:rFonts w:hint="eastAsia" w:ascii="仿宋" w:hAnsi="仿宋" w:eastAsia="仿宋" w:cs="仿宋"/>
          <w:sz w:val="32"/>
          <w:szCs w:val="32"/>
          <w:highlight w:val="none"/>
          <w:u w:val="none"/>
          <w:lang w:eastAsia="zh-CN"/>
        </w:rPr>
      </w:pPr>
      <w:r>
        <w:rPr>
          <w:rFonts w:hint="eastAsia" w:ascii="仿宋" w:hAnsi="仿宋" w:eastAsia="仿宋" w:cs="仿宋"/>
          <w:sz w:val="32"/>
          <w:szCs w:val="32"/>
          <w:highlight w:val="none"/>
          <w:u w:val="none"/>
        </w:rPr>
        <w:t>图2.支出预算图</w:t>
      </w:r>
    </w:p>
    <w:p>
      <w:pPr>
        <w:pStyle w:val="4"/>
        <w:bidi w:val="0"/>
      </w:pPr>
      <w:r>
        <w:rPr>
          <w:rFonts w:hint="eastAsia"/>
        </w:rPr>
        <w:t>四、财政拨款收支预算总体情况说明</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lang w:val="en-US" w:eastAsia="zh-CN"/>
        </w:rPr>
        <w:t>内蒙古自治区人民医院2023</w:t>
      </w:r>
      <w:r>
        <w:rPr>
          <w:rFonts w:hint="eastAsia" w:ascii="仿宋" w:hAnsi="仿宋" w:eastAsia="仿宋" w:cs="仿宋"/>
          <w:sz w:val="32"/>
          <w:szCs w:val="32"/>
          <w:highlight w:val="none"/>
          <w:u w:val="none"/>
        </w:rPr>
        <w:t>年度财政拨款收、支总预算</w:t>
      </w:r>
      <w:r>
        <w:rPr>
          <w:rFonts w:hint="eastAsia" w:ascii="仿宋" w:hAnsi="仿宋" w:eastAsia="仿宋" w:cs="仿宋"/>
          <w:sz w:val="32"/>
          <w:szCs w:val="32"/>
          <w:highlight w:val="none"/>
          <w:u w:val="none"/>
          <w:lang w:val="en-US" w:eastAsia="zh-CN"/>
        </w:rPr>
        <w:t>18,927.26</w:t>
      </w:r>
      <w:r>
        <w:rPr>
          <w:rFonts w:hint="eastAsia" w:ascii="仿宋" w:hAnsi="仿宋" w:eastAsia="仿宋" w:cs="仿宋"/>
          <w:sz w:val="32"/>
          <w:szCs w:val="32"/>
          <w:highlight w:val="none"/>
          <w:u w:val="none"/>
        </w:rPr>
        <w:t>万元。与上年相比，财政拨款收、支总计各增加</w:t>
      </w:r>
      <w:r>
        <w:rPr>
          <w:rFonts w:hint="eastAsia" w:ascii="仿宋" w:hAnsi="仿宋" w:eastAsia="仿宋" w:cs="仿宋"/>
          <w:sz w:val="32"/>
          <w:szCs w:val="32"/>
          <w:highlight w:val="none"/>
          <w:u w:val="none"/>
          <w:lang w:val="en-US" w:eastAsia="zh-CN"/>
        </w:rPr>
        <w:t>5,160.47</w:t>
      </w:r>
      <w:r>
        <w:rPr>
          <w:rFonts w:hint="eastAsia" w:ascii="仿宋" w:hAnsi="仿宋" w:eastAsia="仿宋" w:cs="仿宋"/>
          <w:sz w:val="32"/>
          <w:szCs w:val="32"/>
          <w:highlight w:val="none"/>
          <w:u w:val="none"/>
        </w:rPr>
        <w:t>万元，增长</w:t>
      </w:r>
      <w:r>
        <w:rPr>
          <w:rFonts w:hint="eastAsia" w:ascii="仿宋" w:hAnsi="仿宋" w:eastAsia="仿宋" w:cs="仿宋"/>
          <w:sz w:val="32"/>
          <w:szCs w:val="32"/>
          <w:highlight w:val="none"/>
          <w:u w:val="none"/>
          <w:lang w:val="en-US" w:eastAsia="zh-CN"/>
        </w:rPr>
        <w:t>37.48</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。主要原因是上年结转一般公共预算拨款</w:t>
      </w:r>
      <w:r>
        <w:rPr>
          <w:rFonts w:hint="eastAsia" w:ascii="仿宋" w:hAnsi="仿宋" w:eastAsia="仿宋" w:cs="仿宋"/>
          <w:sz w:val="32"/>
          <w:szCs w:val="32"/>
          <w:highlight w:val="none"/>
          <w:u w:val="none"/>
          <w:lang w:val="en-US" w:eastAsia="zh-CN"/>
        </w:rPr>
        <w:t>较上年增加4,864.30万元，主要为按照科研项目进度及建设项目周期结转结余资金</w:t>
      </w:r>
      <w:r>
        <w:rPr>
          <w:rFonts w:hint="eastAsia" w:ascii="仿宋" w:hAnsi="仿宋" w:eastAsia="仿宋" w:cs="仿宋"/>
          <w:sz w:val="32"/>
          <w:szCs w:val="32"/>
          <w:highlight w:val="none"/>
          <w:u w:val="none"/>
        </w:rPr>
        <w:t>。</w:t>
      </w:r>
    </w:p>
    <w:p>
      <w:pPr>
        <w:pStyle w:val="4"/>
        <w:bidi w:val="0"/>
      </w:pPr>
      <w:r>
        <w:rPr>
          <w:rFonts w:hint="eastAsia"/>
        </w:rPr>
        <w:t>五、一般公共预算支出预算情况说明</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内蒙古自治区人民医院2023年一般公共预算财政拨款支出预算为18,927.26万元，较上一年度增加5,160.47万元，增长37.48%。具体情况如下：</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3" w:firstLineChars="200"/>
        <w:textAlignment w:val="auto"/>
        <w:rPr>
          <w:rFonts w:hint="eastAsia" w:ascii="仿宋" w:hAnsi="仿宋" w:eastAsia="仿宋" w:cs="仿宋"/>
          <w:b/>
          <w:bCs/>
          <w:sz w:val="32"/>
          <w:szCs w:val="32"/>
          <w:highlight w:val="none"/>
          <w:u w:val="none"/>
          <w:lang w:val="en-US" w:eastAsia="zh-CN"/>
        </w:rPr>
      </w:pPr>
      <w:r>
        <w:rPr>
          <w:rFonts w:hint="eastAsia" w:ascii="仿宋" w:hAnsi="仿宋" w:eastAsia="仿宋" w:cs="仿宋"/>
          <w:b/>
          <w:bCs/>
          <w:sz w:val="32"/>
          <w:szCs w:val="32"/>
          <w:highlight w:val="none"/>
          <w:u w:val="none"/>
          <w:lang w:val="en-US" w:eastAsia="zh-CN"/>
        </w:rPr>
        <w:t>（一）科学技术支出（类）</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科学技术支出年初预算为2,365.90万元，较上年增加947.22万元。其中：</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1.基础研究（款）自然科学基金（项）。年初预算388.89万元，较上年增加112.17万元，增长40.54%，变动原因是医院科研能力提升，自然科学基金项目较上年有所增多。</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2.应用研究（款）其他应用研究支出（项）。年初预算为1,216.29万元，较上年增加251.76万元，增长26.10%，变动原因是医院科研能力提升，应用研究项目较上年有所增多。</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3.技术研究与开发（款）科技成果转化与扩散（项）。年初预算为509.63万元，较上年增加368.60万元，增长261.36%，变动原因是结转奥密克戎BF.7引发的新冠肺炎临床特征、炎症与免疫机制研究预算295万元，结转内蒙古自治区呼吸疾病重点试验室预算100万元。</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default"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4.技术研究与开发（款）其他技术研究与开发支出（项）。年初预算为2.68万元，较上年无变化。</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default"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5.科技条件与服务（款）科技条件专项（项）。年初预算248.40万元，较上年增加214.69万元，增长636.76%，变动原因为结转慢阻肺早期筛查与评估工具研发及慢阻肺合并肺动脉高压治疗药物研究200万元。</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3" w:firstLineChars="200"/>
        <w:textAlignment w:val="auto"/>
        <w:rPr>
          <w:rFonts w:hint="eastAsia" w:ascii="仿宋" w:hAnsi="仿宋" w:eastAsia="仿宋" w:cs="仿宋"/>
          <w:b/>
          <w:bCs/>
          <w:sz w:val="32"/>
          <w:szCs w:val="32"/>
          <w:highlight w:val="none"/>
          <w:u w:val="none"/>
          <w:lang w:val="en-US" w:eastAsia="zh-CN"/>
        </w:rPr>
      </w:pPr>
      <w:r>
        <w:rPr>
          <w:rFonts w:hint="eastAsia" w:ascii="仿宋" w:hAnsi="仿宋" w:eastAsia="仿宋" w:cs="仿宋"/>
          <w:b/>
          <w:bCs/>
          <w:sz w:val="32"/>
          <w:szCs w:val="32"/>
          <w:highlight w:val="none"/>
          <w:u w:val="none"/>
          <w:lang w:val="en-US" w:eastAsia="zh-CN"/>
        </w:rPr>
        <w:t>（二）社会保障和就业支出（类）</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社会保障和就业支出年初预算为2,172.59万元，较上年增加710.59万元，其中：</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1.人力资源和社会保障管理事务（款）引进人才费用（项）。年初预算为115.58万元，较上年减少121.91万元，减少51.33%。变动原因为本单位草原英才多为科学技术支出，因此引进人才费用减少。</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default"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2.行政事业单位养老支出（款）事业单位离退休（项）。年初预算为2,057.01万元，较上年增加832.50万元，增长67.99%。变动原因为退休人员增加导致离退休职工经费增加。</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3" w:firstLineChars="200"/>
        <w:textAlignment w:val="auto"/>
        <w:rPr>
          <w:rFonts w:hint="eastAsia" w:ascii="仿宋" w:hAnsi="仿宋" w:eastAsia="仿宋" w:cs="仿宋"/>
          <w:b/>
          <w:bCs/>
          <w:sz w:val="32"/>
          <w:szCs w:val="32"/>
          <w:highlight w:val="none"/>
          <w:u w:val="none"/>
          <w:lang w:val="en-US" w:eastAsia="zh-CN"/>
        </w:rPr>
      </w:pPr>
      <w:r>
        <w:rPr>
          <w:rFonts w:hint="eastAsia" w:ascii="仿宋" w:hAnsi="仿宋" w:eastAsia="仿宋" w:cs="仿宋"/>
          <w:b/>
          <w:bCs/>
          <w:sz w:val="32"/>
          <w:szCs w:val="32"/>
          <w:highlight w:val="none"/>
          <w:u w:val="none"/>
          <w:lang w:val="en-US" w:eastAsia="zh-CN"/>
        </w:rPr>
        <w:t>（三）卫生健康支出（类）</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卫生健康支出年初预算14,388.77万元，较上年增加3,504.60万元。其中：</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default"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1.卫生健康管理事务（款）其他卫生健康管理事务支出（项）。年初预算100万元，较上年增加87.84万元，增长722.37%。变动原因为新增卫生健康管理经费100万元。</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2.公立医院（款）综合医院（项）。年初预算12,285.87万元，较上年增加4,643.42万元，增长60.76%。变动原因主要为结转自治区直属医疗卫生机构重症救治能力建设补助资金6,000万元。</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3.公立医院（款）其他公立医院支出（项）。年初预算为1,690.84万元，较上年减少1,018.73万元，减少37.60%。变动原因为上年结转医疗服务与保障能力提升(卫生健康人才培养培训)补助资金减少1,189.56万元。</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4.公共卫生（款）基本公共卫生服务（项）。年初预算211.96万元，较上年增加121.96万元，增长135.51%，变动原因主要为本年下达的基本公共卫生服务补助资金增加了80万元。</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default"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5.公共卫生（款）突发公共卫生事件应急处理（项）。年初预算为23.40万元，较上年减少55.60万元，减少70.38%。变动原因为上年结转自治区移动方舱核酸检测试剂补助资金79万元使用完毕。</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default"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6.中医药（款）中医（民族医）药专项（项）。年初预算为16万元，较上年增加10万元，增长166.67%。变动原因为中(蒙)医能力建设和学术继承增加10万元。</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7.计划生育事务（款）其他计划生育事务支出（项）。年初预算为1.71万元，较上年减少28.29万元，减少94.31%。变动原因为计划生育事业专项经费减少28.29万元。</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8.其他卫生健康支出（款）其他卫生健康支出（项）。年初预算为59万元，较上年增加44万元，增长293.33%。变动原因为学科建设、健康教育及12320热线服务费增加44万元。</w:t>
      </w:r>
    </w:p>
    <w:p>
      <w:pPr>
        <w:pStyle w:val="4"/>
        <w:bidi w:val="0"/>
      </w:pPr>
      <w:r>
        <w:rPr>
          <w:rFonts w:hint="eastAsia"/>
        </w:rPr>
        <w:t>六、一般公共预算基本支出预算情况说明</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内蒙古自治区人民医院2023年度一般公共预算财政拨款基本支出预算6,377.61万元，其中：</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3"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b/>
          <w:bCs/>
          <w:sz w:val="32"/>
          <w:szCs w:val="32"/>
          <w:highlight w:val="none"/>
          <w:u w:val="none"/>
          <w:lang w:val="en-US" w:eastAsia="zh-CN"/>
        </w:rPr>
        <w:t>（一）人员经费</w:t>
      </w:r>
      <w:r>
        <w:rPr>
          <w:rFonts w:hint="eastAsia" w:ascii="仿宋" w:hAnsi="仿宋" w:eastAsia="仿宋" w:cs="仿宋"/>
          <w:sz w:val="32"/>
          <w:szCs w:val="32"/>
          <w:highlight w:val="none"/>
          <w:u w:val="none"/>
          <w:lang w:val="en-US" w:eastAsia="zh-CN"/>
        </w:rPr>
        <w:t>6,377.61万元。主要包括：基本工资2,000万元，津贴补贴2,280万元，离休费263.28万元，退休费1,793.73万元，生活补助40.60万元。</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3" w:firstLineChars="200"/>
        <w:textAlignment w:val="auto"/>
        <w:rPr>
          <w:rFonts w:hint="default" w:ascii="仿宋" w:hAnsi="仿宋" w:eastAsia="仿宋" w:cs="仿宋"/>
          <w:sz w:val="32"/>
          <w:szCs w:val="32"/>
          <w:highlight w:val="none"/>
          <w:u w:val="none"/>
          <w:lang w:val="en-US" w:eastAsia="zh-CN"/>
        </w:rPr>
      </w:pPr>
      <w:r>
        <w:rPr>
          <w:rFonts w:hint="eastAsia" w:ascii="仿宋" w:hAnsi="仿宋" w:eastAsia="仿宋" w:cs="仿宋"/>
          <w:b/>
          <w:bCs/>
          <w:sz w:val="32"/>
          <w:szCs w:val="32"/>
          <w:highlight w:val="none"/>
          <w:u w:val="none"/>
          <w:lang w:val="en-US" w:eastAsia="zh-CN"/>
        </w:rPr>
        <w:t>（二）公用经费</w:t>
      </w:r>
      <w:r>
        <w:rPr>
          <w:rFonts w:hint="eastAsia" w:ascii="仿宋" w:hAnsi="仿宋" w:eastAsia="仿宋" w:cs="仿宋"/>
          <w:sz w:val="32"/>
          <w:szCs w:val="32"/>
          <w:highlight w:val="none"/>
          <w:u w:val="none"/>
          <w:lang w:val="en-US" w:eastAsia="zh-CN"/>
        </w:rPr>
        <w:t>0万元。主要原因是本单位不存在此项内容。</w:t>
      </w:r>
    </w:p>
    <w:p>
      <w:pPr>
        <w:pStyle w:val="4"/>
        <w:bidi w:val="0"/>
      </w:pPr>
      <w:r>
        <w:rPr>
          <w:rFonts w:hint="eastAsia"/>
        </w:rPr>
        <w:t>七、一般公共预算“三公”经费支出预算情况说明</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内蒙古自治区人民医院2023年度一般公共预算拨款安排的“三公”经费预算支出0万元，其中因公出国（境）费支出0万元，占0%；公务用车购置及运行维护费支出0万元，占0%；公务接待费支出0万元，占0%。具体情况如下：</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一般公共预算拨款安排的“三公”经费预算支出0万元，比上年预算增加（减少）0万元，增长（减少）0%；其中：</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1．因公出国（境）费预算支出0万元，比上年预算增加（减少）0万元，主要原因是本单位不存在此项内容。</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2．公务用车购置及运行维护费预算支出0万元。其中：</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（1）公务用车购置预算支出0万元，比上年预算增加（减少）0万元，主要原因是本单位不存在此项内容。</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（2）公务用车运行维护费预算支出0万元，比上年预算增加（减少）0万元，主要原因是本单位不存在此项内容。</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3．公务接待费预算支出0万元，比上年预算增加（减少）0万元，主要原因是本单位不存在此项内容。</w:t>
      </w:r>
    </w:p>
    <w:p>
      <w:pPr>
        <w:pStyle w:val="4"/>
        <w:bidi w:val="0"/>
      </w:pPr>
      <w:r>
        <w:rPr>
          <w:rFonts w:hint="eastAsia"/>
        </w:rPr>
        <w:t>八、政府性基金预算支出预算情况说明</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内蒙古自治区人民医院2023年度政府性基金支出预算支出0万元。与上年相比增加（减少）0万元，增长（减少）0%。主要原因是本单位无政府性基金预算支出。</w:t>
      </w:r>
    </w:p>
    <w:p>
      <w:pPr>
        <w:pStyle w:val="4"/>
        <w:bidi w:val="0"/>
        <w:rPr>
          <w:rFonts w:hint="eastAsia"/>
          <w:lang w:val="en-US" w:eastAsia="zh-CN"/>
        </w:rPr>
      </w:pPr>
      <w:r>
        <w:rPr>
          <w:rFonts w:hint="eastAsia"/>
          <w:lang w:val="en-US" w:eastAsia="zh-CN"/>
        </w:rPr>
        <w:t>九、国有资本经营预算支出预算情况说明</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内蒙古自治区人民医院2023年度国有资本经营预算支出0万元。与上年相比增加（减少）0万元，增长（减少）0%。主要原因本单位无国有资本经营预算支出。</w:t>
      </w:r>
    </w:p>
    <w:p>
      <w:pPr>
        <w:pStyle w:val="4"/>
        <w:bidi w:val="0"/>
        <w:rPr>
          <w:rFonts w:hint="eastAsia"/>
          <w:lang w:val="en-US" w:eastAsia="zh-CN"/>
        </w:rPr>
      </w:pPr>
      <w:r>
        <w:rPr>
          <w:rFonts w:hint="eastAsia"/>
          <w:lang w:val="en-US" w:eastAsia="zh-CN"/>
        </w:rPr>
        <w:t>十、项目支出预算情况说明</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内蒙古自治区人民医院2023年度预算安排项目90个，项目预算总金额12,549.65万元。其中，财政本年拨款金额1,688万元，财政拨款结转结余10,861.65万元，财政专户管理资金0万元，单位资金0万元。</w:t>
      </w:r>
    </w:p>
    <w:p>
      <w:pPr>
        <w:pStyle w:val="4"/>
        <w:bidi w:val="0"/>
        <w:rPr>
          <w:rFonts w:hint="eastAsia"/>
          <w:lang w:val="en-US" w:eastAsia="zh-CN"/>
        </w:rPr>
      </w:pPr>
      <w:r>
        <w:rPr>
          <w:rFonts w:hint="eastAsia"/>
          <w:lang w:val="en-US" w:eastAsia="zh-CN"/>
        </w:rPr>
        <w:t>十一、机构运行经费支出预算情况说明</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内蒙古自治区人民医院2023年度机构运行经费预算支出0万元，与上年相比增加（减少）0万元，增长（减少）0%。主要原因是：本年度无一般公共预算拨款收入安排的机构运行经费预算，一般公用经费及工会经费全部为事业收入安排。2023年，本单位事业收入安排的一般公用经费及工会经费预算合计190,625.10万元，较去年增加6.46%。增加的主要原因是根据以收定支原则，我单位对公用经费支出预算进行了适当调整，保障医院日常各项业务的有序运转。</w:t>
      </w:r>
    </w:p>
    <w:p>
      <w:pPr>
        <w:pStyle w:val="4"/>
        <w:bidi w:val="0"/>
        <w:rPr>
          <w:rFonts w:hint="eastAsia"/>
          <w:lang w:val="en-US" w:eastAsia="zh-CN"/>
        </w:rPr>
      </w:pPr>
      <w:r>
        <w:rPr>
          <w:rFonts w:hint="eastAsia"/>
          <w:lang w:val="en-US" w:eastAsia="zh-CN"/>
        </w:rPr>
        <w:t>十二、政府采购支出预算情况说明</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内蒙古自治区人民医院2023年度政府采购支出预算总额121,820.19万元，其中：拟采购货物支出94,889.53万元、拟采购工程支出12,359.05万元、拟购买服务支出14,571.61万元。</w:t>
      </w:r>
    </w:p>
    <w:p>
      <w:pPr>
        <w:pStyle w:val="4"/>
        <w:bidi w:val="0"/>
        <w:rPr>
          <w:rFonts w:hint="eastAsia"/>
          <w:lang w:val="en-US" w:eastAsia="zh-CN"/>
        </w:rPr>
      </w:pPr>
      <w:r>
        <w:rPr>
          <w:rFonts w:hint="eastAsia"/>
          <w:lang w:val="en-US" w:eastAsia="zh-CN"/>
        </w:rPr>
        <w:t>十三、国有资产占用情况说明</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内蒙古自治区人民医院截至2022年末，共有车辆48辆，其中，应急保障用车1辆，特种专业技术用车14辆，离退休干部用车3辆，其他用车30辆。单价50万元（含）以上的通用设备15台（套），单价100万元（含）以上的专用设备281台（套）。</w:t>
      </w:r>
    </w:p>
    <w:p>
      <w:pPr>
        <w:pStyle w:val="4"/>
        <w:bidi w:val="0"/>
        <w:rPr>
          <w:rFonts w:hint="eastAsia"/>
          <w:lang w:val="en-US" w:eastAsia="zh-CN"/>
        </w:rPr>
      </w:pPr>
      <w:r>
        <w:rPr>
          <w:rFonts w:hint="eastAsia"/>
          <w:lang w:val="en-US" w:eastAsia="zh-CN"/>
        </w:rPr>
        <w:t>十四、项目绩效目标情况说明</w:t>
      </w:r>
    </w:p>
    <w:p>
      <w:pPr>
        <w:pStyle w:val="10"/>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内蒙古自治区人民医院2023年度填报绩效目标的预算项目28个，公开项目28个，公开项目占全部预算项目的100%。公开填报绩效目标的项目预算296,561.71万元，占全部项目预算的100%。</w:t>
      </w:r>
    </w:p>
    <w:p>
      <w:pPr>
        <w:rPr>
          <w:rFonts w:hint="default" w:ascii="方正小标宋简体" w:hAnsi="方正小标宋简体" w:eastAsia="方正小标宋简体" w:cs="方正小标宋简体"/>
          <w:sz w:val="36"/>
          <w:szCs w:val="36"/>
          <w:highlight w:val="none"/>
          <w:u w:val="none"/>
        </w:rPr>
      </w:pPr>
      <w:r>
        <w:rPr>
          <w:rFonts w:hint="default" w:ascii="方正小标宋简体" w:hAnsi="方正小标宋简体" w:eastAsia="方正小标宋简体" w:cs="方正小标宋简体"/>
          <w:sz w:val="36"/>
          <w:szCs w:val="36"/>
          <w:highlight w:val="none"/>
          <w:u w:val="none"/>
        </w:rPr>
        <w:br w:type="page"/>
      </w:r>
    </w:p>
    <w:p>
      <w:pPr>
        <w:pStyle w:val="2"/>
        <w:spacing w:after="0" w:line="600" w:lineRule="exact"/>
        <w:rPr>
          <w:rFonts w:hint="default" w:ascii="方正小标宋简体" w:hAnsi="方正小标宋简体" w:eastAsia="方正小标宋简体" w:cs="方正小标宋简体"/>
          <w:sz w:val="36"/>
          <w:szCs w:val="36"/>
          <w:highlight w:val="none"/>
          <w:u w:val="none"/>
        </w:rPr>
      </w:pPr>
    </w:p>
    <w:p>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u w:val="none"/>
        </w:rPr>
      </w:pPr>
      <w:bookmarkStart w:id="2" w:name="_Toc15573"/>
      <w:r>
        <w:rPr>
          <w:rFonts w:hint="eastAsia" w:ascii="方正小标宋简体" w:hAnsi="方正小标宋简体" w:eastAsia="方正小标宋简体" w:cs="方正小标宋简体"/>
          <w:b w:val="0"/>
          <w:bCs w:val="0"/>
          <w:sz w:val="36"/>
          <w:szCs w:val="36"/>
          <w:highlight w:val="none"/>
          <w:u w:val="none"/>
        </w:rPr>
        <w:t>第三部分名词解释</w:t>
      </w:r>
      <w:bookmarkEnd w:id="2"/>
    </w:p>
    <w:p>
      <w:pPr>
        <w:rPr>
          <w:sz w:val="36"/>
          <w:szCs w:val="36"/>
          <w:highlight w:val="none"/>
          <w:u w:val="none"/>
        </w:rPr>
      </w:pPr>
    </w:p>
    <w:p>
      <w:pPr>
        <w:spacing w:line="600" w:lineRule="exact"/>
        <w:ind w:firstLine="643" w:firstLineChars="200"/>
        <w:rPr>
          <w:rFonts w:hint="eastAsia" w:ascii="仿宋" w:hAnsi="仿宋" w:eastAsia="仿宋" w:cs="仿宋"/>
          <w:sz w:val="32"/>
          <w:szCs w:val="32"/>
          <w:highlight w:val="none"/>
          <w:u w:val="none"/>
        </w:rPr>
      </w:pPr>
      <w:r>
        <w:rPr>
          <w:rFonts w:hint="eastAsia" w:ascii="仿宋" w:hAnsi="仿宋" w:eastAsia="仿宋" w:cs="仿宋"/>
          <w:b/>
          <w:bCs/>
          <w:sz w:val="32"/>
          <w:szCs w:val="32"/>
          <w:highlight w:val="none"/>
          <w:u w:val="none"/>
        </w:rPr>
        <w:t>一、财政拨款：</w:t>
      </w:r>
      <w:r>
        <w:rPr>
          <w:rFonts w:hint="eastAsia" w:ascii="仿宋" w:hAnsi="仿宋" w:eastAsia="仿宋" w:cs="仿宋"/>
          <w:sz w:val="32"/>
          <w:szCs w:val="32"/>
          <w:highlight w:val="none"/>
          <w:u w:val="none"/>
        </w:rPr>
        <w:t>从同级财政部门取得的各类财政拨款，包括一般公共预算拨款、政府性基金预算拨款、国有资本经营预算拨款。</w:t>
      </w:r>
    </w:p>
    <w:p>
      <w:pPr>
        <w:spacing w:line="600" w:lineRule="exact"/>
        <w:ind w:firstLine="643" w:firstLineChars="200"/>
        <w:rPr>
          <w:rFonts w:hint="eastAsia" w:ascii="仿宋" w:hAnsi="仿宋" w:eastAsia="仿宋" w:cs="仿宋"/>
          <w:highlight w:val="none"/>
          <w:u w:val="none"/>
        </w:rPr>
      </w:pPr>
      <w:r>
        <w:rPr>
          <w:rFonts w:hint="eastAsia" w:ascii="仿宋" w:hAnsi="仿宋" w:eastAsia="仿宋" w:cs="仿宋"/>
          <w:b/>
          <w:bCs/>
          <w:sz w:val="32"/>
          <w:szCs w:val="32"/>
          <w:highlight w:val="none"/>
          <w:u w:val="none"/>
        </w:rPr>
        <w:t>二、一般公共预算拨款收入：</w:t>
      </w:r>
      <w:r>
        <w:rPr>
          <w:rFonts w:hint="eastAsia" w:ascii="仿宋" w:hAnsi="仿宋" w:eastAsia="仿宋" w:cs="仿宋"/>
          <w:bCs/>
          <w:sz w:val="30"/>
          <w:szCs w:val="30"/>
          <w:highlight w:val="none"/>
          <w:u w:val="none"/>
        </w:rPr>
        <w:t>指财政当年拨付的资金。</w:t>
      </w:r>
    </w:p>
    <w:p>
      <w:pPr>
        <w:spacing w:line="600" w:lineRule="exact"/>
        <w:ind w:firstLine="643" w:firstLineChars="200"/>
        <w:rPr>
          <w:rFonts w:hint="eastAsia" w:ascii="仿宋" w:hAnsi="仿宋" w:eastAsia="仿宋" w:cs="仿宋"/>
          <w:sz w:val="32"/>
          <w:szCs w:val="32"/>
          <w:highlight w:val="none"/>
          <w:u w:val="none"/>
        </w:rPr>
      </w:pPr>
      <w:r>
        <w:rPr>
          <w:rFonts w:hint="eastAsia" w:ascii="仿宋" w:hAnsi="仿宋" w:eastAsia="仿宋" w:cs="仿宋"/>
          <w:b/>
          <w:bCs/>
          <w:sz w:val="32"/>
          <w:szCs w:val="32"/>
          <w:highlight w:val="none"/>
          <w:u w:val="none"/>
        </w:rPr>
        <w:t>三、财政专户管理资金：</w:t>
      </w:r>
      <w:r>
        <w:rPr>
          <w:rFonts w:hint="eastAsia" w:ascii="仿宋" w:hAnsi="仿宋" w:eastAsia="仿宋" w:cs="仿宋"/>
          <w:sz w:val="32"/>
          <w:szCs w:val="32"/>
          <w:highlight w:val="none"/>
          <w:u w:val="none"/>
        </w:rPr>
        <w:t>缴入财政专户、实行专项管理的高中以上学费、住宿费、高校委托培养费、函大、电大、夜大及短训班培训费等教育收费。</w:t>
      </w:r>
    </w:p>
    <w:p>
      <w:pPr>
        <w:spacing w:line="600" w:lineRule="exact"/>
        <w:ind w:firstLine="643" w:firstLineChars="200"/>
        <w:rPr>
          <w:rFonts w:hint="eastAsia" w:ascii="仿宋" w:hAnsi="仿宋" w:eastAsia="仿宋" w:cs="仿宋"/>
          <w:sz w:val="32"/>
          <w:szCs w:val="32"/>
          <w:highlight w:val="none"/>
          <w:u w:val="none"/>
        </w:rPr>
      </w:pPr>
      <w:r>
        <w:rPr>
          <w:rFonts w:hint="eastAsia" w:ascii="仿宋" w:hAnsi="仿宋" w:eastAsia="仿宋" w:cs="仿宋"/>
          <w:b/>
          <w:bCs/>
          <w:sz w:val="32"/>
          <w:szCs w:val="32"/>
          <w:highlight w:val="none"/>
          <w:u w:val="none"/>
        </w:rPr>
        <w:t>四、单位资金：</w:t>
      </w:r>
      <w:r>
        <w:rPr>
          <w:rFonts w:hint="eastAsia" w:ascii="仿宋" w:hAnsi="仿宋" w:eastAsia="仿宋" w:cs="仿宋"/>
          <w:sz w:val="32"/>
          <w:szCs w:val="32"/>
          <w:highlight w:val="none"/>
          <w:u w:val="none"/>
        </w:rPr>
        <w:t>除财政拨款收入和财政专户管理资金以外的收入，包括事业收入（不含教育收费）、上级补助收入、附属单位上缴收入、事业单位经营收入及其他收入（包含债务收入、投资收益等）。</w:t>
      </w:r>
    </w:p>
    <w:p>
      <w:pPr>
        <w:spacing w:line="600" w:lineRule="exact"/>
        <w:ind w:firstLine="643" w:firstLineChars="200"/>
        <w:rPr>
          <w:rFonts w:hint="eastAsia" w:ascii="仿宋" w:hAnsi="仿宋" w:eastAsia="仿宋" w:cs="仿宋"/>
          <w:sz w:val="32"/>
          <w:szCs w:val="32"/>
          <w:highlight w:val="none"/>
          <w:u w:val="none"/>
        </w:rPr>
      </w:pPr>
      <w:r>
        <w:rPr>
          <w:rFonts w:hint="eastAsia" w:ascii="仿宋" w:hAnsi="仿宋" w:eastAsia="仿宋" w:cs="仿宋"/>
          <w:b/>
          <w:bCs/>
          <w:sz w:val="32"/>
          <w:szCs w:val="32"/>
          <w:highlight w:val="none"/>
          <w:u w:val="none"/>
        </w:rPr>
        <w:t>五、基本支出：</w:t>
      </w:r>
      <w:r>
        <w:rPr>
          <w:rFonts w:hint="eastAsia" w:ascii="仿宋" w:hAnsi="仿宋" w:eastAsia="仿宋" w:cs="仿宋"/>
          <w:sz w:val="32"/>
          <w:szCs w:val="32"/>
          <w:highlight w:val="none"/>
          <w:u w:val="none"/>
        </w:rPr>
        <w:t>指为保障机构正常运转、完成工作任务而发生的人员支出和公用支出。</w:t>
      </w:r>
    </w:p>
    <w:p>
      <w:pPr>
        <w:spacing w:line="600" w:lineRule="exact"/>
        <w:ind w:firstLine="643" w:firstLineChars="200"/>
        <w:rPr>
          <w:rFonts w:hint="eastAsia" w:ascii="仿宋" w:hAnsi="仿宋" w:eastAsia="仿宋" w:cs="仿宋"/>
          <w:sz w:val="32"/>
          <w:szCs w:val="32"/>
          <w:highlight w:val="none"/>
          <w:u w:val="none"/>
        </w:rPr>
      </w:pPr>
      <w:r>
        <w:rPr>
          <w:rFonts w:hint="eastAsia" w:ascii="仿宋" w:hAnsi="仿宋" w:eastAsia="仿宋" w:cs="仿宋"/>
          <w:b/>
          <w:bCs/>
          <w:sz w:val="32"/>
          <w:szCs w:val="32"/>
          <w:highlight w:val="none"/>
          <w:u w:val="none"/>
        </w:rPr>
        <w:t>六、项目支出：</w:t>
      </w:r>
      <w:r>
        <w:rPr>
          <w:rFonts w:hint="eastAsia" w:ascii="仿宋" w:hAnsi="仿宋" w:eastAsia="仿宋" w:cs="仿宋"/>
          <w:sz w:val="32"/>
          <w:szCs w:val="32"/>
          <w:highlight w:val="none"/>
          <w:u w:val="none"/>
        </w:rPr>
        <w:t>指在基本支出之外为完成特定工作任务和事业发展目标所发生的支出。</w:t>
      </w:r>
    </w:p>
    <w:p>
      <w:pPr>
        <w:spacing w:line="600" w:lineRule="exact"/>
        <w:ind w:firstLine="643" w:firstLineChars="200"/>
        <w:rPr>
          <w:rFonts w:hint="eastAsia" w:ascii="仿宋" w:hAnsi="仿宋" w:eastAsia="仿宋" w:cs="仿宋"/>
          <w:sz w:val="32"/>
          <w:szCs w:val="32"/>
          <w:highlight w:val="none"/>
          <w:u w:val="none"/>
        </w:rPr>
      </w:pPr>
      <w:r>
        <w:rPr>
          <w:rFonts w:hint="eastAsia" w:ascii="仿宋" w:hAnsi="仿宋" w:eastAsia="仿宋" w:cs="仿宋"/>
          <w:b/>
          <w:bCs/>
          <w:sz w:val="32"/>
          <w:szCs w:val="32"/>
          <w:highlight w:val="none"/>
          <w:u w:val="none"/>
        </w:rPr>
        <w:t>七、对个人和家庭的补助：</w:t>
      </w:r>
      <w:r>
        <w:rPr>
          <w:rFonts w:hint="eastAsia" w:ascii="仿宋" w:hAnsi="仿宋" w:eastAsia="仿宋" w:cs="仿宋"/>
          <w:sz w:val="32"/>
          <w:szCs w:val="32"/>
          <w:highlight w:val="none"/>
          <w:u w:val="none"/>
        </w:rPr>
        <w:t>是指政府用于对个人和家庭的补助支出。</w:t>
      </w:r>
    </w:p>
    <w:p>
      <w:pPr>
        <w:spacing w:line="600" w:lineRule="exact"/>
        <w:ind w:firstLine="643" w:firstLineChars="200"/>
        <w:rPr>
          <w:rFonts w:hint="eastAsia" w:ascii="仿宋" w:hAnsi="仿宋" w:eastAsia="仿宋" w:cs="仿宋"/>
          <w:sz w:val="32"/>
          <w:szCs w:val="32"/>
          <w:highlight w:val="none"/>
          <w:u w:val="none"/>
        </w:rPr>
      </w:pPr>
      <w:r>
        <w:rPr>
          <w:rFonts w:hint="eastAsia" w:ascii="仿宋" w:hAnsi="仿宋" w:eastAsia="仿宋" w:cs="仿宋"/>
          <w:b/>
          <w:bCs/>
          <w:sz w:val="32"/>
          <w:szCs w:val="32"/>
          <w:highlight w:val="none"/>
          <w:u w:val="none"/>
        </w:rPr>
        <w:t>八、“三公”经费：</w:t>
      </w:r>
      <w:r>
        <w:rPr>
          <w:rFonts w:hint="eastAsia" w:ascii="仿宋" w:hAnsi="仿宋" w:eastAsia="仿宋" w:cs="仿宋"/>
          <w:sz w:val="32"/>
          <w:szCs w:val="32"/>
          <w:highlight w:val="none"/>
          <w:u w:val="none"/>
        </w:rPr>
        <w:t>指部门</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单位</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用一般公共预算财政拨款安排的因公出国（境）费、公务用车购置及运行维护费和公务接待费。其中，因公出国（境）费反映部门</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单位</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公务出国（境）的住宿费、旅费、伙食补助费、杂费、培训费等支出；公务用车购置及运行维护费反映部门</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单位</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公务用车购置费、燃料费、维修费、过路过桥费、保险费、安全奖励费用等支出；公务接待费反映部门</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单位</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按规定开支的各类公务接待（含外宾接待）支出。</w:t>
      </w:r>
    </w:p>
    <w:p>
      <w:pPr>
        <w:spacing w:line="600" w:lineRule="exact"/>
        <w:ind w:firstLine="643" w:firstLineChars="200"/>
        <w:rPr>
          <w:rFonts w:hint="eastAsia" w:ascii="仿宋" w:hAnsi="仿宋" w:eastAsia="仿宋" w:cs="仿宋"/>
          <w:sz w:val="32"/>
          <w:szCs w:val="32"/>
          <w:highlight w:val="none"/>
          <w:u w:val="none"/>
        </w:rPr>
      </w:pPr>
      <w:r>
        <w:rPr>
          <w:rFonts w:hint="eastAsia" w:ascii="仿宋" w:hAnsi="仿宋" w:eastAsia="仿宋" w:cs="仿宋"/>
          <w:b/>
          <w:bCs/>
          <w:sz w:val="32"/>
          <w:szCs w:val="32"/>
          <w:highlight w:val="none"/>
          <w:u w:val="none"/>
        </w:rPr>
        <w:t>九、</w:t>
      </w:r>
      <w:r>
        <w:rPr>
          <w:rFonts w:hint="eastAsia" w:ascii="仿宋" w:hAnsi="仿宋" w:eastAsia="仿宋" w:cs="仿宋"/>
          <w:b/>
          <w:bCs/>
          <w:sz w:val="32"/>
          <w:szCs w:val="32"/>
          <w:highlight w:val="none"/>
          <w:u w:val="none"/>
          <w:lang w:val="en-US" w:eastAsia="zh-CN"/>
        </w:rPr>
        <w:t>机构</w:t>
      </w:r>
      <w:r>
        <w:rPr>
          <w:rFonts w:hint="eastAsia" w:ascii="仿宋" w:hAnsi="仿宋" w:eastAsia="仿宋" w:cs="仿宋"/>
          <w:b/>
          <w:bCs/>
          <w:sz w:val="32"/>
          <w:szCs w:val="32"/>
          <w:highlight w:val="none"/>
          <w:u w:val="none"/>
        </w:rPr>
        <w:t>运行经费：</w:t>
      </w:r>
      <w:r>
        <w:rPr>
          <w:rFonts w:hint="eastAsia" w:ascii="仿宋" w:hAnsi="仿宋" w:eastAsia="仿宋" w:cs="仿宋"/>
          <w:sz w:val="32"/>
          <w:szCs w:val="32"/>
          <w:highlight w:val="none"/>
          <w:u w:val="none"/>
        </w:rPr>
        <w:t>指部门</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单位</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spacing w:line="600" w:lineRule="exact"/>
        <w:jc w:val="center"/>
        <w:rPr>
          <w:rFonts w:ascii="方正小标宋简体" w:hAnsi="方正小标宋简体" w:eastAsia="方正小标宋简体" w:cs="方正小标宋简体"/>
          <w:sz w:val="36"/>
          <w:szCs w:val="36"/>
          <w:highlight w:val="none"/>
          <w:u w:val="none"/>
        </w:rPr>
      </w:pPr>
    </w:p>
    <w:p>
      <w:pPr>
        <w:pStyle w:val="2"/>
        <w:rPr>
          <w:rFonts w:ascii="方正小标宋简体" w:hAnsi="方正小标宋简体" w:eastAsia="方正小标宋简体" w:cs="方正小标宋简体"/>
          <w:sz w:val="36"/>
          <w:szCs w:val="36"/>
          <w:highlight w:val="none"/>
          <w:u w:val="none"/>
        </w:rPr>
      </w:pPr>
    </w:p>
    <w:p>
      <w:pPr>
        <w:pStyle w:val="2"/>
        <w:rPr>
          <w:rFonts w:ascii="方正小标宋简体" w:hAnsi="方正小标宋简体" w:eastAsia="方正小标宋简体" w:cs="方正小标宋简体"/>
          <w:sz w:val="36"/>
          <w:szCs w:val="36"/>
          <w:highlight w:val="none"/>
          <w:u w:val="none"/>
        </w:rPr>
      </w:pPr>
    </w:p>
    <w:p>
      <w:pPr>
        <w:pStyle w:val="2"/>
        <w:rPr>
          <w:rFonts w:ascii="方正小标宋简体" w:hAnsi="方正小标宋简体" w:eastAsia="方正小标宋简体" w:cs="方正小标宋简体"/>
          <w:sz w:val="36"/>
          <w:szCs w:val="36"/>
          <w:highlight w:val="none"/>
          <w:u w:val="none"/>
        </w:rPr>
      </w:pPr>
    </w:p>
    <w:p>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u w:val="none"/>
        </w:rPr>
      </w:pPr>
      <w:bookmarkStart w:id="3" w:name="_Toc21331"/>
      <w:r>
        <w:rPr>
          <w:rFonts w:hint="eastAsia" w:ascii="方正小标宋简体" w:hAnsi="方正小标宋简体" w:eastAsia="方正小标宋简体" w:cs="方正小标宋简体"/>
          <w:b w:val="0"/>
          <w:bCs w:val="0"/>
          <w:sz w:val="36"/>
          <w:szCs w:val="36"/>
          <w:highlight w:val="none"/>
          <w:u w:val="none"/>
        </w:rPr>
        <w:t>第四部分预算公开联系方式及信息反馈渠道</w:t>
      </w:r>
      <w:bookmarkEnd w:id="3"/>
    </w:p>
    <w:p>
      <w:pPr>
        <w:snapToGrid w:val="0"/>
        <w:spacing w:line="600" w:lineRule="exact"/>
        <w:rPr>
          <w:rFonts w:ascii="方正小标宋简体" w:hAnsi="方正小标宋简体" w:eastAsia="方正小标宋简体" w:cs="方正小标宋简体"/>
          <w:sz w:val="36"/>
          <w:szCs w:val="36"/>
          <w:highlight w:val="none"/>
          <w:u w:val="none"/>
        </w:rPr>
      </w:pPr>
    </w:p>
    <w:p>
      <w:pPr>
        <w:snapToGrid w:val="0"/>
        <w:spacing w:line="600" w:lineRule="exact"/>
        <w:ind w:firstLine="640" w:firstLineChars="200"/>
        <w:rPr>
          <w:rFonts w:hint="eastAsia" w:ascii="仿宋" w:hAnsi="仿宋" w:eastAsia="仿宋" w:cs="仿宋"/>
          <w:sz w:val="32"/>
          <w:szCs w:val="32"/>
          <w:highlight w:val="none"/>
          <w:u w:val="none"/>
        </w:rPr>
      </w:pPr>
      <w:r>
        <w:rPr>
          <w:rFonts w:hint="eastAsia" w:ascii="仿宋" w:hAnsi="仿宋" w:eastAsia="仿宋" w:cs="仿宋"/>
          <w:sz w:val="32"/>
          <w:szCs w:val="32"/>
          <w:highlight w:val="none"/>
          <w:u w:val="none"/>
        </w:rPr>
        <w:t>本单位预算公开信息</w:t>
      </w:r>
      <w:bookmarkStart w:id="4" w:name="_GoBack"/>
      <w:bookmarkEnd w:id="4"/>
      <w:r>
        <w:rPr>
          <w:rFonts w:hint="eastAsia" w:ascii="仿宋" w:hAnsi="仿宋" w:eastAsia="仿宋" w:cs="仿宋"/>
          <w:sz w:val="32"/>
          <w:szCs w:val="32"/>
          <w:highlight w:val="none"/>
          <w:u w:val="none"/>
        </w:rPr>
        <w:t>反馈和联系方式：</w:t>
      </w:r>
    </w:p>
    <w:p>
      <w:pPr>
        <w:snapToGrid w:val="0"/>
        <w:spacing w:line="600" w:lineRule="exact"/>
        <w:ind w:firstLine="640" w:firstLineChars="200"/>
        <w:rPr>
          <w:rFonts w:hint="default"/>
          <w:highlight w:val="none"/>
          <w:u w:val="none"/>
        </w:rPr>
      </w:pPr>
      <w:r>
        <w:rPr>
          <w:rFonts w:hint="eastAsia" w:ascii="仿宋" w:hAnsi="仿宋" w:eastAsia="仿宋" w:cs="仿宋"/>
          <w:sz w:val="32"/>
          <w:szCs w:val="32"/>
          <w:highlight w:val="none"/>
          <w:u w:val="none"/>
        </w:rPr>
        <w:t>联系人：</w:t>
      </w:r>
      <w:r>
        <w:rPr>
          <w:rFonts w:hint="eastAsia" w:ascii="仿宋" w:hAnsi="仿宋" w:eastAsia="仿宋" w:cs="仿宋"/>
          <w:sz w:val="32"/>
          <w:szCs w:val="32"/>
          <w:highlight w:val="none"/>
          <w:u w:val="none"/>
          <w:lang w:val="en-US" w:eastAsia="zh-CN"/>
        </w:rPr>
        <w:t xml:space="preserve">王菁              </w:t>
      </w:r>
      <w:r>
        <w:rPr>
          <w:rFonts w:hint="eastAsia" w:ascii="仿宋" w:hAnsi="仿宋" w:eastAsia="仿宋" w:cs="仿宋"/>
          <w:sz w:val="32"/>
          <w:szCs w:val="32"/>
          <w:highlight w:val="none"/>
          <w:u w:val="none"/>
        </w:rPr>
        <w:t>联系电话：</w:t>
      </w:r>
      <w:r>
        <w:rPr>
          <w:rFonts w:hint="eastAsia" w:ascii="仿宋" w:hAnsi="仿宋" w:eastAsia="仿宋" w:cs="仿宋"/>
          <w:sz w:val="32"/>
          <w:szCs w:val="32"/>
          <w:highlight w:val="none"/>
          <w:u w:val="none"/>
          <w:lang w:val="en-US" w:eastAsia="zh-CN"/>
        </w:rPr>
        <w:t>18004853225</w:t>
      </w:r>
    </w:p>
    <w:sectPr>
      <w:footerReference r:id="rId5" w:type="default"/>
      <w:pgSz w:w="11906" w:h="16838"/>
      <w:pgMar w:top="1474" w:right="1474" w:bottom="1474" w:left="1587" w:header="851" w:footer="992" w:gutter="0"/>
      <w:pgNumType w:fmt="numberInDash"/>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16EF198-5982-43AE-BDFF-5DEEFFBD7B7F}"/>
  </w:font>
  <w:font w:name="黑体">
    <w:panose1 w:val="02010609060101010101"/>
    <w:charset w:val="86"/>
    <w:family w:val="auto"/>
    <w:pitch w:val="default"/>
    <w:sig w:usb0="800002BF" w:usb1="38CF7CFA" w:usb2="00000016" w:usb3="00000000" w:csb0="00040001" w:csb1="00000000"/>
    <w:embedRegular r:id="rId2" w:fontKey="{B74793F2-F032-47C5-88DF-7DEA77C25B3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3" w:fontKey="{7E69443B-88B4-40B1-9D9E-F6127F1CB5E6}"/>
  </w:font>
  <w:font w:name="Calibri">
    <w:panose1 w:val="020F0502020204030204"/>
    <w:charset w:val="00"/>
    <w:family w:val="swiss"/>
    <w:pitch w:val="default"/>
    <w:sig w:usb0="E4002EFF" w:usb1="C000247B" w:usb2="00000009" w:usb3="00000000" w:csb0="200001FF" w:csb1="00000000"/>
  </w:font>
  <w:font w:name="方正黑体简体">
    <w:panose1 w:val="02000000000000000000"/>
    <w:charset w:val="86"/>
    <w:family w:val="auto"/>
    <w:pitch w:val="default"/>
    <w:sig w:usb0="A00002BF" w:usb1="184F6CFA" w:usb2="00000012" w:usb3="00000000" w:csb0="00040001"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0" w:usb1="00000000" w:usb2="00000000" w:usb3="00000000" w:csb0="00000000" w:csb1="00000000"/>
    <w:embedRegular r:id="rId4" w:fontKey="{455CBC97-B75E-4153-92A7-CDED7125A166}"/>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Courier">
    <w:altName w:val="Courier New"/>
    <w:panose1 w:val="02070409020205020404"/>
    <w:charset w:val="00"/>
    <w:family w:val="moder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Helv">
    <w:altName w:val="Segoe Print"/>
    <w:panose1 w:val="020B0604020202030204"/>
    <w:charset w:val="00"/>
    <w:family w:val="swiss"/>
    <w:pitch w:val="default"/>
    <w:sig w:usb0="00000000"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embedRegular r:id="rId5" w:fontKey="{FC1A1CD8-3A6D-4190-A446-BE8590A4C90C}"/>
  </w:font>
  <w:font w:name="仿宋">
    <w:panose1 w:val="02010609060101010101"/>
    <w:charset w:val="86"/>
    <w:family w:val="modern"/>
    <w:pitch w:val="default"/>
    <w:sig w:usb0="800002BF" w:usb1="38CF7CFA" w:usb2="00000016" w:usb3="00000000" w:csb0="00040001" w:csb1="00000000"/>
    <w:embedRegular r:id="rId6" w:fontKey="{64F1F93B-7D20-43D9-BCD1-5105EE3DF50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mc:AlternateContent>
        <mc:Choice Requires="wps">
          <w:drawing>
            <wp:anchor distT="0" distB="0" distL="114300" distR="114300" simplePos="0" relativeHeight="251660288"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4.8pt;margin-top:1.4pt;height:27.7pt;width:62.65pt;mso-position-horizontal-relative:margin;z-index:251660288;mso-width-relative:page;mso-height-relative:page;" filled="f" stroked="f" coordsize="21600,21600" o:gfxdata="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pe6y7XAAAACAEAAA8AAAAAAAAAAQAgAAAAIgAAAGRycy9kb3ducmV2LnhtbFBL&#10;AQIUABQAAAAIAIdO4kDr0pWXMAIAAFUEAAAOAAAAAAAAAAEAIAAAACYBAABkcnMvZTJvRG9jLnht&#10;bFBLBQYAAAAABgAGAFkBAADIBQAAAAA=&#10;">
              <v:fill on="f" focussize="0,0"/>
              <v:stroke on="f" weight="0.5pt"/>
              <v:imagedata o:title=""/>
              <o:lock v:ext="edit" aspectratio="f"/>
              <v:textbox inset="0mm,0mm,0mm,0mm">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v:textbox>
            </v:shape>
          </w:pict>
        </mc:Fallback>
      </mc:AlternateContent>
    </w: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795655" cy="351790"/>
              <wp:effectExtent l="0" t="0" r="0" b="0"/>
              <wp:wrapNone/>
              <wp:docPr id="5" name="文本框 5"/>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- 58 -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27.7pt;width:62.65pt;mso-position-horizontal:center;mso-position-horizontal-relative:margin;z-index:251659264;mso-width-relative:page;mso-height-relative:page;" filled="f" stroked="f" coordsize="21600,21600" o:gfxdata="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HDpdn1AAAAAQBAAAPAAAAAAAAAAEAIAAAACIAAABkcnMvZG93bnJldi54bWxQSwEC&#10;FAAUAAAACACHTuJAyGZD2zECAABVBAAADgAAAAAAAAABACAAAAAjAQAAZHJzL2Uyb0RvYy54bWxQ&#10;SwUGAAAAAAYABgBZAQAAxgUAAAAA&#10;">
              <v:fill on="f" focussize="0,0"/>
              <v:stroke on="f" weight="0.5pt"/>
              <v:imagedata o:title=""/>
              <o:lock v:ext="edit" aspectratio="f"/>
              <v:textbox inset="0mm,0mm,0mm,0mm">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- 58 -</w:t>
                    </w:r>
                    <w:r>
                      <w:rPr>
                        <w:sz w:val="24"/>
                        <w:szCs w:val="24"/>
                      </w:rPr>
                      <w:fldChar w:fldCharType="end"/>
                    </w:r>
                  </w:p>
                </w:txbxContent>
              </v:textbox>
            </v:shape>
          </w:pict>
        </mc:Fallback>
      </mc:AlternateContent>
    </w: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65B7C3"/>
    <w:multiLevelType w:val="singleLevel"/>
    <w:tmpl w:val="3265B7C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yZTZiOWNhNTRkM2JiNDQwZWRmZDZjZTIwNDhiY2IifQ=="/>
  </w:docVars>
  <w:rsids>
    <w:rsidRoot w:val="00172A27"/>
    <w:rsid w:val="00000CBF"/>
    <w:rsid w:val="000034CD"/>
    <w:rsid w:val="00003B87"/>
    <w:rsid w:val="000106AF"/>
    <w:rsid w:val="00010F09"/>
    <w:rsid w:val="00010F57"/>
    <w:rsid w:val="00014729"/>
    <w:rsid w:val="000168E2"/>
    <w:rsid w:val="00016E30"/>
    <w:rsid w:val="0001778D"/>
    <w:rsid w:val="00023930"/>
    <w:rsid w:val="0002537D"/>
    <w:rsid w:val="000267C9"/>
    <w:rsid w:val="000316D6"/>
    <w:rsid w:val="00034C3D"/>
    <w:rsid w:val="00035935"/>
    <w:rsid w:val="00035BD9"/>
    <w:rsid w:val="00037650"/>
    <w:rsid w:val="000408B3"/>
    <w:rsid w:val="000409C6"/>
    <w:rsid w:val="00040A7B"/>
    <w:rsid w:val="0004437D"/>
    <w:rsid w:val="00044D5A"/>
    <w:rsid w:val="00047F92"/>
    <w:rsid w:val="000517C8"/>
    <w:rsid w:val="00052722"/>
    <w:rsid w:val="00052AB3"/>
    <w:rsid w:val="000530B5"/>
    <w:rsid w:val="000547DF"/>
    <w:rsid w:val="00056E21"/>
    <w:rsid w:val="00063642"/>
    <w:rsid w:val="00065474"/>
    <w:rsid w:val="00071596"/>
    <w:rsid w:val="00073EED"/>
    <w:rsid w:val="00080B1C"/>
    <w:rsid w:val="00082025"/>
    <w:rsid w:val="000843F5"/>
    <w:rsid w:val="00084B87"/>
    <w:rsid w:val="00084C61"/>
    <w:rsid w:val="00084EE5"/>
    <w:rsid w:val="00085C93"/>
    <w:rsid w:val="00087A5E"/>
    <w:rsid w:val="00090945"/>
    <w:rsid w:val="00094212"/>
    <w:rsid w:val="00094289"/>
    <w:rsid w:val="00094579"/>
    <w:rsid w:val="0009486F"/>
    <w:rsid w:val="00097AD5"/>
    <w:rsid w:val="00097E70"/>
    <w:rsid w:val="000A3463"/>
    <w:rsid w:val="000A3CBA"/>
    <w:rsid w:val="000B179A"/>
    <w:rsid w:val="000B19DD"/>
    <w:rsid w:val="000B271C"/>
    <w:rsid w:val="000B3090"/>
    <w:rsid w:val="000B395D"/>
    <w:rsid w:val="000B4C87"/>
    <w:rsid w:val="000B5E2F"/>
    <w:rsid w:val="000B75C9"/>
    <w:rsid w:val="000C2547"/>
    <w:rsid w:val="000C2657"/>
    <w:rsid w:val="000C3B4A"/>
    <w:rsid w:val="000C7570"/>
    <w:rsid w:val="000D1A18"/>
    <w:rsid w:val="000D4710"/>
    <w:rsid w:val="000E093A"/>
    <w:rsid w:val="000E597B"/>
    <w:rsid w:val="000E63BF"/>
    <w:rsid w:val="000F0BD4"/>
    <w:rsid w:val="000F344F"/>
    <w:rsid w:val="000F6C2D"/>
    <w:rsid w:val="000F7468"/>
    <w:rsid w:val="000F746A"/>
    <w:rsid w:val="00102140"/>
    <w:rsid w:val="00106E16"/>
    <w:rsid w:val="001114EC"/>
    <w:rsid w:val="00112A96"/>
    <w:rsid w:val="001133DF"/>
    <w:rsid w:val="00114F9E"/>
    <w:rsid w:val="001151B8"/>
    <w:rsid w:val="00122854"/>
    <w:rsid w:val="00122B22"/>
    <w:rsid w:val="00123EEA"/>
    <w:rsid w:val="00126508"/>
    <w:rsid w:val="001329DF"/>
    <w:rsid w:val="001342A7"/>
    <w:rsid w:val="00142E3E"/>
    <w:rsid w:val="001432CD"/>
    <w:rsid w:val="0014381D"/>
    <w:rsid w:val="0014464F"/>
    <w:rsid w:val="00152205"/>
    <w:rsid w:val="00153AFD"/>
    <w:rsid w:val="00155332"/>
    <w:rsid w:val="00155E13"/>
    <w:rsid w:val="00157214"/>
    <w:rsid w:val="001602D6"/>
    <w:rsid w:val="00163244"/>
    <w:rsid w:val="00163F67"/>
    <w:rsid w:val="00172A27"/>
    <w:rsid w:val="001735FD"/>
    <w:rsid w:val="001738CA"/>
    <w:rsid w:val="00175368"/>
    <w:rsid w:val="001802D6"/>
    <w:rsid w:val="00183BED"/>
    <w:rsid w:val="00191536"/>
    <w:rsid w:val="00193879"/>
    <w:rsid w:val="001940E1"/>
    <w:rsid w:val="00196BA0"/>
    <w:rsid w:val="0019719A"/>
    <w:rsid w:val="001A02B5"/>
    <w:rsid w:val="001A1BDF"/>
    <w:rsid w:val="001A2F89"/>
    <w:rsid w:val="001A3158"/>
    <w:rsid w:val="001A3CE2"/>
    <w:rsid w:val="001A5241"/>
    <w:rsid w:val="001B012D"/>
    <w:rsid w:val="001B0DDF"/>
    <w:rsid w:val="001B1449"/>
    <w:rsid w:val="001B3621"/>
    <w:rsid w:val="001B4457"/>
    <w:rsid w:val="001B5368"/>
    <w:rsid w:val="001B5886"/>
    <w:rsid w:val="001B5EC9"/>
    <w:rsid w:val="001B7FCD"/>
    <w:rsid w:val="001C0CDF"/>
    <w:rsid w:val="001C4010"/>
    <w:rsid w:val="001C6BF1"/>
    <w:rsid w:val="001D3C7E"/>
    <w:rsid w:val="001D6D0B"/>
    <w:rsid w:val="001D7958"/>
    <w:rsid w:val="001E0433"/>
    <w:rsid w:val="001E3429"/>
    <w:rsid w:val="001E68D8"/>
    <w:rsid w:val="001E76DB"/>
    <w:rsid w:val="001F4C1E"/>
    <w:rsid w:val="001F6B7A"/>
    <w:rsid w:val="00200204"/>
    <w:rsid w:val="002015D3"/>
    <w:rsid w:val="002039F1"/>
    <w:rsid w:val="002044DF"/>
    <w:rsid w:val="002049F7"/>
    <w:rsid w:val="0021312E"/>
    <w:rsid w:val="0021383F"/>
    <w:rsid w:val="00214BEE"/>
    <w:rsid w:val="0021585B"/>
    <w:rsid w:val="0021600A"/>
    <w:rsid w:val="0021726C"/>
    <w:rsid w:val="00217770"/>
    <w:rsid w:val="00220C2A"/>
    <w:rsid w:val="00221E65"/>
    <w:rsid w:val="002240B1"/>
    <w:rsid w:val="0022415F"/>
    <w:rsid w:val="00224835"/>
    <w:rsid w:val="00224F3D"/>
    <w:rsid w:val="00225C23"/>
    <w:rsid w:val="00233D9B"/>
    <w:rsid w:val="00236FA6"/>
    <w:rsid w:val="00240094"/>
    <w:rsid w:val="00241B6B"/>
    <w:rsid w:val="002431E6"/>
    <w:rsid w:val="0024416D"/>
    <w:rsid w:val="00244B90"/>
    <w:rsid w:val="00245FFD"/>
    <w:rsid w:val="0025052F"/>
    <w:rsid w:val="0025133B"/>
    <w:rsid w:val="002519F2"/>
    <w:rsid w:val="00251E52"/>
    <w:rsid w:val="00252024"/>
    <w:rsid w:val="00252295"/>
    <w:rsid w:val="002604EC"/>
    <w:rsid w:val="0026390E"/>
    <w:rsid w:val="00266811"/>
    <w:rsid w:val="002670EA"/>
    <w:rsid w:val="00270D49"/>
    <w:rsid w:val="002742F8"/>
    <w:rsid w:val="002748BD"/>
    <w:rsid w:val="00274A4D"/>
    <w:rsid w:val="00274E33"/>
    <w:rsid w:val="00286355"/>
    <w:rsid w:val="00286B1A"/>
    <w:rsid w:val="00287D92"/>
    <w:rsid w:val="00290958"/>
    <w:rsid w:val="00291FC4"/>
    <w:rsid w:val="002926AE"/>
    <w:rsid w:val="00293A42"/>
    <w:rsid w:val="00293F3B"/>
    <w:rsid w:val="00294D1F"/>
    <w:rsid w:val="002A25F0"/>
    <w:rsid w:val="002A38DC"/>
    <w:rsid w:val="002A3F94"/>
    <w:rsid w:val="002A4CC2"/>
    <w:rsid w:val="002B0E96"/>
    <w:rsid w:val="002B21CC"/>
    <w:rsid w:val="002B3658"/>
    <w:rsid w:val="002B37C5"/>
    <w:rsid w:val="002B7E88"/>
    <w:rsid w:val="002D028A"/>
    <w:rsid w:val="002D27EE"/>
    <w:rsid w:val="002D2D64"/>
    <w:rsid w:val="002D3180"/>
    <w:rsid w:val="002D4EA7"/>
    <w:rsid w:val="002D6124"/>
    <w:rsid w:val="002D6167"/>
    <w:rsid w:val="002D70B8"/>
    <w:rsid w:val="002D7791"/>
    <w:rsid w:val="002D7AEB"/>
    <w:rsid w:val="002D7FE5"/>
    <w:rsid w:val="002F0AEA"/>
    <w:rsid w:val="002F0CEB"/>
    <w:rsid w:val="002F1022"/>
    <w:rsid w:val="002F2712"/>
    <w:rsid w:val="002F73C2"/>
    <w:rsid w:val="002F7AA1"/>
    <w:rsid w:val="0030209D"/>
    <w:rsid w:val="00304A27"/>
    <w:rsid w:val="0030703E"/>
    <w:rsid w:val="00307477"/>
    <w:rsid w:val="003115CC"/>
    <w:rsid w:val="00313750"/>
    <w:rsid w:val="00316EA0"/>
    <w:rsid w:val="00321A3C"/>
    <w:rsid w:val="0033160F"/>
    <w:rsid w:val="00331DB0"/>
    <w:rsid w:val="003337F4"/>
    <w:rsid w:val="00335EEB"/>
    <w:rsid w:val="00337D32"/>
    <w:rsid w:val="003406D1"/>
    <w:rsid w:val="0034673B"/>
    <w:rsid w:val="00351751"/>
    <w:rsid w:val="00351CBC"/>
    <w:rsid w:val="00352172"/>
    <w:rsid w:val="00355342"/>
    <w:rsid w:val="00356692"/>
    <w:rsid w:val="00356F2E"/>
    <w:rsid w:val="003575C9"/>
    <w:rsid w:val="0036025D"/>
    <w:rsid w:val="00361339"/>
    <w:rsid w:val="003617B4"/>
    <w:rsid w:val="003631E0"/>
    <w:rsid w:val="003655C7"/>
    <w:rsid w:val="003666F6"/>
    <w:rsid w:val="00367F5C"/>
    <w:rsid w:val="00367FEB"/>
    <w:rsid w:val="00370C21"/>
    <w:rsid w:val="0037119D"/>
    <w:rsid w:val="00371460"/>
    <w:rsid w:val="00371E38"/>
    <w:rsid w:val="00374C99"/>
    <w:rsid w:val="00374EC2"/>
    <w:rsid w:val="00375717"/>
    <w:rsid w:val="00377F83"/>
    <w:rsid w:val="00385C9F"/>
    <w:rsid w:val="00385D9C"/>
    <w:rsid w:val="00386A78"/>
    <w:rsid w:val="00387B4F"/>
    <w:rsid w:val="00387FDC"/>
    <w:rsid w:val="003900E4"/>
    <w:rsid w:val="003908AD"/>
    <w:rsid w:val="003944BB"/>
    <w:rsid w:val="003945B5"/>
    <w:rsid w:val="00394D62"/>
    <w:rsid w:val="00395D0B"/>
    <w:rsid w:val="00397362"/>
    <w:rsid w:val="003A003A"/>
    <w:rsid w:val="003A1185"/>
    <w:rsid w:val="003A3E3C"/>
    <w:rsid w:val="003A3F4A"/>
    <w:rsid w:val="003A4972"/>
    <w:rsid w:val="003B4A14"/>
    <w:rsid w:val="003B5570"/>
    <w:rsid w:val="003B77B6"/>
    <w:rsid w:val="003C31AB"/>
    <w:rsid w:val="003C35CD"/>
    <w:rsid w:val="003C43EA"/>
    <w:rsid w:val="003C4F65"/>
    <w:rsid w:val="003C53D2"/>
    <w:rsid w:val="003C7866"/>
    <w:rsid w:val="003D0971"/>
    <w:rsid w:val="003D3C90"/>
    <w:rsid w:val="003D5CBF"/>
    <w:rsid w:val="003E02C3"/>
    <w:rsid w:val="003E18C9"/>
    <w:rsid w:val="003F567D"/>
    <w:rsid w:val="003F7782"/>
    <w:rsid w:val="00400588"/>
    <w:rsid w:val="00406AC9"/>
    <w:rsid w:val="0041073B"/>
    <w:rsid w:val="0041167C"/>
    <w:rsid w:val="004138A8"/>
    <w:rsid w:val="0041426C"/>
    <w:rsid w:val="00416FDF"/>
    <w:rsid w:val="00417B37"/>
    <w:rsid w:val="0042054B"/>
    <w:rsid w:val="00420D95"/>
    <w:rsid w:val="004253B8"/>
    <w:rsid w:val="00425ED7"/>
    <w:rsid w:val="00426740"/>
    <w:rsid w:val="00427C2F"/>
    <w:rsid w:val="0043128C"/>
    <w:rsid w:val="00434D44"/>
    <w:rsid w:val="0044228B"/>
    <w:rsid w:val="00442688"/>
    <w:rsid w:val="00442AED"/>
    <w:rsid w:val="00442D5D"/>
    <w:rsid w:val="00444B82"/>
    <w:rsid w:val="004459F0"/>
    <w:rsid w:val="00454633"/>
    <w:rsid w:val="00454737"/>
    <w:rsid w:val="00455BF8"/>
    <w:rsid w:val="00456DB3"/>
    <w:rsid w:val="00456EAD"/>
    <w:rsid w:val="004604FE"/>
    <w:rsid w:val="004611A8"/>
    <w:rsid w:val="00467117"/>
    <w:rsid w:val="00467D70"/>
    <w:rsid w:val="00467DC5"/>
    <w:rsid w:val="004702DB"/>
    <w:rsid w:val="00470C8E"/>
    <w:rsid w:val="00473D33"/>
    <w:rsid w:val="004769DB"/>
    <w:rsid w:val="00481EB5"/>
    <w:rsid w:val="00482B89"/>
    <w:rsid w:val="004833E7"/>
    <w:rsid w:val="00483401"/>
    <w:rsid w:val="00491B17"/>
    <w:rsid w:val="004931F8"/>
    <w:rsid w:val="00494023"/>
    <w:rsid w:val="004967F7"/>
    <w:rsid w:val="00497241"/>
    <w:rsid w:val="004A1F81"/>
    <w:rsid w:val="004A20B6"/>
    <w:rsid w:val="004A2789"/>
    <w:rsid w:val="004A2DF3"/>
    <w:rsid w:val="004A2FCA"/>
    <w:rsid w:val="004A3875"/>
    <w:rsid w:val="004A7AF4"/>
    <w:rsid w:val="004B048E"/>
    <w:rsid w:val="004B143B"/>
    <w:rsid w:val="004B174D"/>
    <w:rsid w:val="004B5933"/>
    <w:rsid w:val="004C500C"/>
    <w:rsid w:val="004C5FFC"/>
    <w:rsid w:val="004C74F7"/>
    <w:rsid w:val="004D1253"/>
    <w:rsid w:val="004D158E"/>
    <w:rsid w:val="004D2861"/>
    <w:rsid w:val="004D5666"/>
    <w:rsid w:val="004D6BB1"/>
    <w:rsid w:val="004D7A03"/>
    <w:rsid w:val="004D7DBF"/>
    <w:rsid w:val="004E0454"/>
    <w:rsid w:val="004E06ED"/>
    <w:rsid w:val="004E1457"/>
    <w:rsid w:val="004E4A43"/>
    <w:rsid w:val="004E4BBF"/>
    <w:rsid w:val="004F2CDD"/>
    <w:rsid w:val="004F4D87"/>
    <w:rsid w:val="004F55CD"/>
    <w:rsid w:val="004F58A0"/>
    <w:rsid w:val="004F5F12"/>
    <w:rsid w:val="004F6692"/>
    <w:rsid w:val="004F77B0"/>
    <w:rsid w:val="00501EEF"/>
    <w:rsid w:val="00502A31"/>
    <w:rsid w:val="00505021"/>
    <w:rsid w:val="00506790"/>
    <w:rsid w:val="00510EFF"/>
    <w:rsid w:val="00511717"/>
    <w:rsid w:val="00511B53"/>
    <w:rsid w:val="005146EE"/>
    <w:rsid w:val="005160E3"/>
    <w:rsid w:val="005161E3"/>
    <w:rsid w:val="00516B40"/>
    <w:rsid w:val="005203F0"/>
    <w:rsid w:val="00521E09"/>
    <w:rsid w:val="00525EB0"/>
    <w:rsid w:val="00535551"/>
    <w:rsid w:val="0053664B"/>
    <w:rsid w:val="00540718"/>
    <w:rsid w:val="00540B71"/>
    <w:rsid w:val="00541F46"/>
    <w:rsid w:val="0054292B"/>
    <w:rsid w:val="005440BF"/>
    <w:rsid w:val="0054661A"/>
    <w:rsid w:val="005510D1"/>
    <w:rsid w:val="00552574"/>
    <w:rsid w:val="00554DCA"/>
    <w:rsid w:val="00556C59"/>
    <w:rsid w:val="00557E0E"/>
    <w:rsid w:val="005604D0"/>
    <w:rsid w:val="005614CC"/>
    <w:rsid w:val="005615F3"/>
    <w:rsid w:val="0056225D"/>
    <w:rsid w:val="00562E92"/>
    <w:rsid w:val="005639FA"/>
    <w:rsid w:val="0056420B"/>
    <w:rsid w:val="00564ABA"/>
    <w:rsid w:val="005653F5"/>
    <w:rsid w:val="00571BB6"/>
    <w:rsid w:val="00572A14"/>
    <w:rsid w:val="0057572A"/>
    <w:rsid w:val="00576A02"/>
    <w:rsid w:val="0058236D"/>
    <w:rsid w:val="00582BA2"/>
    <w:rsid w:val="00583D19"/>
    <w:rsid w:val="0058789A"/>
    <w:rsid w:val="00593F60"/>
    <w:rsid w:val="00594E72"/>
    <w:rsid w:val="00594E89"/>
    <w:rsid w:val="00595732"/>
    <w:rsid w:val="005957A8"/>
    <w:rsid w:val="005A0020"/>
    <w:rsid w:val="005A0592"/>
    <w:rsid w:val="005A09E0"/>
    <w:rsid w:val="005A1BC7"/>
    <w:rsid w:val="005A7383"/>
    <w:rsid w:val="005B155E"/>
    <w:rsid w:val="005B1651"/>
    <w:rsid w:val="005B1D05"/>
    <w:rsid w:val="005B544A"/>
    <w:rsid w:val="005B570B"/>
    <w:rsid w:val="005B5DBA"/>
    <w:rsid w:val="005B5ECD"/>
    <w:rsid w:val="005C5D3B"/>
    <w:rsid w:val="005C773C"/>
    <w:rsid w:val="005D2118"/>
    <w:rsid w:val="005D476C"/>
    <w:rsid w:val="005D5AEF"/>
    <w:rsid w:val="005E031D"/>
    <w:rsid w:val="005E2226"/>
    <w:rsid w:val="005F007E"/>
    <w:rsid w:val="005F22D5"/>
    <w:rsid w:val="005F2659"/>
    <w:rsid w:val="005F3198"/>
    <w:rsid w:val="005F5238"/>
    <w:rsid w:val="005F5B86"/>
    <w:rsid w:val="00603A8C"/>
    <w:rsid w:val="00607135"/>
    <w:rsid w:val="00610D76"/>
    <w:rsid w:val="0061425B"/>
    <w:rsid w:val="00615CCA"/>
    <w:rsid w:val="00616504"/>
    <w:rsid w:val="00616551"/>
    <w:rsid w:val="00617C3C"/>
    <w:rsid w:val="00623384"/>
    <w:rsid w:val="006236AD"/>
    <w:rsid w:val="0063195F"/>
    <w:rsid w:val="00632944"/>
    <w:rsid w:val="006355A9"/>
    <w:rsid w:val="00637A4F"/>
    <w:rsid w:val="00641CD5"/>
    <w:rsid w:val="00642BB6"/>
    <w:rsid w:val="00644031"/>
    <w:rsid w:val="00644FBC"/>
    <w:rsid w:val="00647134"/>
    <w:rsid w:val="00652DB9"/>
    <w:rsid w:val="0065703E"/>
    <w:rsid w:val="006575E7"/>
    <w:rsid w:val="00657673"/>
    <w:rsid w:val="00661E32"/>
    <w:rsid w:val="00662CCA"/>
    <w:rsid w:val="00662EC6"/>
    <w:rsid w:val="00662F26"/>
    <w:rsid w:val="00665B56"/>
    <w:rsid w:val="006720DF"/>
    <w:rsid w:val="00672743"/>
    <w:rsid w:val="00681E9C"/>
    <w:rsid w:val="00682B2E"/>
    <w:rsid w:val="00683341"/>
    <w:rsid w:val="006853C1"/>
    <w:rsid w:val="0068695A"/>
    <w:rsid w:val="00686C54"/>
    <w:rsid w:val="00687D34"/>
    <w:rsid w:val="00691B56"/>
    <w:rsid w:val="00691CC7"/>
    <w:rsid w:val="00691D88"/>
    <w:rsid w:val="00691EC8"/>
    <w:rsid w:val="00693C36"/>
    <w:rsid w:val="0069508B"/>
    <w:rsid w:val="00695904"/>
    <w:rsid w:val="006966EC"/>
    <w:rsid w:val="0069730F"/>
    <w:rsid w:val="00697930"/>
    <w:rsid w:val="006A0A1B"/>
    <w:rsid w:val="006A1B40"/>
    <w:rsid w:val="006A29F4"/>
    <w:rsid w:val="006A33FD"/>
    <w:rsid w:val="006A4D49"/>
    <w:rsid w:val="006A5098"/>
    <w:rsid w:val="006A623D"/>
    <w:rsid w:val="006B1149"/>
    <w:rsid w:val="006B1F4E"/>
    <w:rsid w:val="006B35D8"/>
    <w:rsid w:val="006B5EC7"/>
    <w:rsid w:val="006B6C41"/>
    <w:rsid w:val="006C0F17"/>
    <w:rsid w:val="006C3341"/>
    <w:rsid w:val="006C3359"/>
    <w:rsid w:val="006C4A23"/>
    <w:rsid w:val="006C5697"/>
    <w:rsid w:val="006C6FF2"/>
    <w:rsid w:val="006C79FA"/>
    <w:rsid w:val="006C7ECE"/>
    <w:rsid w:val="006D10E1"/>
    <w:rsid w:val="006D3BB4"/>
    <w:rsid w:val="006D4EAB"/>
    <w:rsid w:val="006F04BC"/>
    <w:rsid w:val="006F520F"/>
    <w:rsid w:val="00700A16"/>
    <w:rsid w:val="00701E0C"/>
    <w:rsid w:val="0070236E"/>
    <w:rsid w:val="00702E1F"/>
    <w:rsid w:val="00705D96"/>
    <w:rsid w:val="00706BD6"/>
    <w:rsid w:val="00710B15"/>
    <w:rsid w:val="00710DBC"/>
    <w:rsid w:val="00710F2F"/>
    <w:rsid w:val="00711981"/>
    <w:rsid w:val="00712513"/>
    <w:rsid w:val="00714FCB"/>
    <w:rsid w:val="00716714"/>
    <w:rsid w:val="00717855"/>
    <w:rsid w:val="007208BC"/>
    <w:rsid w:val="007223AD"/>
    <w:rsid w:val="0072313B"/>
    <w:rsid w:val="0073016A"/>
    <w:rsid w:val="007319CE"/>
    <w:rsid w:val="0073502E"/>
    <w:rsid w:val="00735453"/>
    <w:rsid w:val="0074153A"/>
    <w:rsid w:val="00741A58"/>
    <w:rsid w:val="007438FA"/>
    <w:rsid w:val="007444F9"/>
    <w:rsid w:val="00745662"/>
    <w:rsid w:val="00746BB0"/>
    <w:rsid w:val="007500F5"/>
    <w:rsid w:val="00751B12"/>
    <w:rsid w:val="007525B4"/>
    <w:rsid w:val="0075361E"/>
    <w:rsid w:val="00755B39"/>
    <w:rsid w:val="00756505"/>
    <w:rsid w:val="007602DD"/>
    <w:rsid w:val="00760CD7"/>
    <w:rsid w:val="0076688E"/>
    <w:rsid w:val="007720CC"/>
    <w:rsid w:val="0077226B"/>
    <w:rsid w:val="00773DB6"/>
    <w:rsid w:val="0077514A"/>
    <w:rsid w:val="00781279"/>
    <w:rsid w:val="00783AFE"/>
    <w:rsid w:val="007904FF"/>
    <w:rsid w:val="007925EB"/>
    <w:rsid w:val="00796798"/>
    <w:rsid w:val="00797B28"/>
    <w:rsid w:val="007A038A"/>
    <w:rsid w:val="007A1E1B"/>
    <w:rsid w:val="007A23C5"/>
    <w:rsid w:val="007A3D48"/>
    <w:rsid w:val="007A5961"/>
    <w:rsid w:val="007A62AF"/>
    <w:rsid w:val="007A6303"/>
    <w:rsid w:val="007A73B9"/>
    <w:rsid w:val="007B0811"/>
    <w:rsid w:val="007B12CC"/>
    <w:rsid w:val="007B31EB"/>
    <w:rsid w:val="007B425E"/>
    <w:rsid w:val="007C1D53"/>
    <w:rsid w:val="007C22F2"/>
    <w:rsid w:val="007C4FA1"/>
    <w:rsid w:val="007D2F2B"/>
    <w:rsid w:val="007D48A4"/>
    <w:rsid w:val="007D719A"/>
    <w:rsid w:val="007E11AF"/>
    <w:rsid w:val="007E36AC"/>
    <w:rsid w:val="007E4B97"/>
    <w:rsid w:val="007E5353"/>
    <w:rsid w:val="007E55B7"/>
    <w:rsid w:val="007E6392"/>
    <w:rsid w:val="007F42D9"/>
    <w:rsid w:val="007F5799"/>
    <w:rsid w:val="007F5BF8"/>
    <w:rsid w:val="007F7B66"/>
    <w:rsid w:val="00801DE2"/>
    <w:rsid w:val="00802AAD"/>
    <w:rsid w:val="008038C9"/>
    <w:rsid w:val="0080646E"/>
    <w:rsid w:val="00806C2A"/>
    <w:rsid w:val="008077DA"/>
    <w:rsid w:val="008153A1"/>
    <w:rsid w:val="00825BFE"/>
    <w:rsid w:val="00825C8F"/>
    <w:rsid w:val="00826B5E"/>
    <w:rsid w:val="00831380"/>
    <w:rsid w:val="00831843"/>
    <w:rsid w:val="00832D6F"/>
    <w:rsid w:val="008330BB"/>
    <w:rsid w:val="00833CAD"/>
    <w:rsid w:val="008406FC"/>
    <w:rsid w:val="00840AA3"/>
    <w:rsid w:val="008410E6"/>
    <w:rsid w:val="00841318"/>
    <w:rsid w:val="00841E77"/>
    <w:rsid w:val="008421E5"/>
    <w:rsid w:val="00845E45"/>
    <w:rsid w:val="008512E3"/>
    <w:rsid w:val="00851C1E"/>
    <w:rsid w:val="00853166"/>
    <w:rsid w:val="008545A3"/>
    <w:rsid w:val="00856CD9"/>
    <w:rsid w:val="00862F0E"/>
    <w:rsid w:val="00863E6B"/>
    <w:rsid w:val="008655F8"/>
    <w:rsid w:val="00867DAD"/>
    <w:rsid w:val="00867EAE"/>
    <w:rsid w:val="00870A99"/>
    <w:rsid w:val="00871458"/>
    <w:rsid w:val="00872CB6"/>
    <w:rsid w:val="00874F21"/>
    <w:rsid w:val="00882D02"/>
    <w:rsid w:val="00883213"/>
    <w:rsid w:val="00884A1B"/>
    <w:rsid w:val="008923A4"/>
    <w:rsid w:val="008927E0"/>
    <w:rsid w:val="00893556"/>
    <w:rsid w:val="00893B88"/>
    <w:rsid w:val="008953C4"/>
    <w:rsid w:val="008A02F3"/>
    <w:rsid w:val="008A4193"/>
    <w:rsid w:val="008A4440"/>
    <w:rsid w:val="008A58B3"/>
    <w:rsid w:val="008B024E"/>
    <w:rsid w:val="008B14E4"/>
    <w:rsid w:val="008B2C45"/>
    <w:rsid w:val="008B4190"/>
    <w:rsid w:val="008C0361"/>
    <w:rsid w:val="008C2670"/>
    <w:rsid w:val="008C6831"/>
    <w:rsid w:val="008C736D"/>
    <w:rsid w:val="008D30DD"/>
    <w:rsid w:val="008D35B6"/>
    <w:rsid w:val="008D5D5A"/>
    <w:rsid w:val="008D63C9"/>
    <w:rsid w:val="008D77B0"/>
    <w:rsid w:val="008E06A1"/>
    <w:rsid w:val="008E1673"/>
    <w:rsid w:val="008E6D68"/>
    <w:rsid w:val="008F4555"/>
    <w:rsid w:val="00900431"/>
    <w:rsid w:val="00902193"/>
    <w:rsid w:val="0090328C"/>
    <w:rsid w:val="00910123"/>
    <w:rsid w:val="00912961"/>
    <w:rsid w:val="00913386"/>
    <w:rsid w:val="00913F71"/>
    <w:rsid w:val="00914563"/>
    <w:rsid w:val="00916D35"/>
    <w:rsid w:val="00921822"/>
    <w:rsid w:val="00921960"/>
    <w:rsid w:val="0092196F"/>
    <w:rsid w:val="00923F6C"/>
    <w:rsid w:val="00925D28"/>
    <w:rsid w:val="00927B48"/>
    <w:rsid w:val="00931166"/>
    <w:rsid w:val="0093340A"/>
    <w:rsid w:val="00933955"/>
    <w:rsid w:val="00935A11"/>
    <w:rsid w:val="00936518"/>
    <w:rsid w:val="00937032"/>
    <w:rsid w:val="00937C98"/>
    <w:rsid w:val="0094258F"/>
    <w:rsid w:val="0094661D"/>
    <w:rsid w:val="0095122D"/>
    <w:rsid w:val="00952194"/>
    <w:rsid w:val="00955087"/>
    <w:rsid w:val="0095730F"/>
    <w:rsid w:val="0096060D"/>
    <w:rsid w:val="00961C95"/>
    <w:rsid w:val="00962A5F"/>
    <w:rsid w:val="00963B0B"/>
    <w:rsid w:val="0096467C"/>
    <w:rsid w:val="00965969"/>
    <w:rsid w:val="00965DB7"/>
    <w:rsid w:val="009667C2"/>
    <w:rsid w:val="00967F39"/>
    <w:rsid w:val="00970038"/>
    <w:rsid w:val="00971D84"/>
    <w:rsid w:val="0097237D"/>
    <w:rsid w:val="009740A2"/>
    <w:rsid w:val="00976F17"/>
    <w:rsid w:val="00981972"/>
    <w:rsid w:val="0098245F"/>
    <w:rsid w:val="009855CA"/>
    <w:rsid w:val="00990F07"/>
    <w:rsid w:val="009932D0"/>
    <w:rsid w:val="00996DA3"/>
    <w:rsid w:val="009B0A61"/>
    <w:rsid w:val="009B109A"/>
    <w:rsid w:val="009B4531"/>
    <w:rsid w:val="009B5F75"/>
    <w:rsid w:val="009B6519"/>
    <w:rsid w:val="009B6C65"/>
    <w:rsid w:val="009B7836"/>
    <w:rsid w:val="009C164A"/>
    <w:rsid w:val="009D0A18"/>
    <w:rsid w:val="009D17E4"/>
    <w:rsid w:val="009D5A93"/>
    <w:rsid w:val="009D5BA5"/>
    <w:rsid w:val="009D64E2"/>
    <w:rsid w:val="009D6BF5"/>
    <w:rsid w:val="009E0276"/>
    <w:rsid w:val="009E25B6"/>
    <w:rsid w:val="009E2A29"/>
    <w:rsid w:val="009E5F33"/>
    <w:rsid w:val="009E6791"/>
    <w:rsid w:val="009E7510"/>
    <w:rsid w:val="009F02C1"/>
    <w:rsid w:val="009F0BD2"/>
    <w:rsid w:val="009F1452"/>
    <w:rsid w:val="009F1BF8"/>
    <w:rsid w:val="009F1C9C"/>
    <w:rsid w:val="009F250C"/>
    <w:rsid w:val="009F275E"/>
    <w:rsid w:val="009F434C"/>
    <w:rsid w:val="009F7D34"/>
    <w:rsid w:val="00A00E7B"/>
    <w:rsid w:val="00A02520"/>
    <w:rsid w:val="00A02BAA"/>
    <w:rsid w:val="00A107BD"/>
    <w:rsid w:val="00A10D56"/>
    <w:rsid w:val="00A1218E"/>
    <w:rsid w:val="00A12C39"/>
    <w:rsid w:val="00A13A13"/>
    <w:rsid w:val="00A15326"/>
    <w:rsid w:val="00A16CEC"/>
    <w:rsid w:val="00A26C91"/>
    <w:rsid w:val="00A26E9C"/>
    <w:rsid w:val="00A318E2"/>
    <w:rsid w:val="00A33F58"/>
    <w:rsid w:val="00A36055"/>
    <w:rsid w:val="00A40BC8"/>
    <w:rsid w:val="00A4369D"/>
    <w:rsid w:val="00A43B19"/>
    <w:rsid w:val="00A4472E"/>
    <w:rsid w:val="00A46D31"/>
    <w:rsid w:val="00A47EA4"/>
    <w:rsid w:val="00A503E5"/>
    <w:rsid w:val="00A509FD"/>
    <w:rsid w:val="00A53F03"/>
    <w:rsid w:val="00A53FF0"/>
    <w:rsid w:val="00A54456"/>
    <w:rsid w:val="00A5471E"/>
    <w:rsid w:val="00A551D7"/>
    <w:rsid w:val="00A55B27"/>
    <w:rsid w:val="00A55BDA"/>
    <w:rsid w:val="00A60C43"/>
    <w:rsid w:val="00A64596"/>
    <w:rsid w:val="00A67BE2"/>
    <w:rsid w:val="00A74820"/>
    <w:rsid w:val="00A76E41"/>
    <w:rsid w:val="00A776BC"/>
    <w:rsid w:val="00A8105F"/>
    <w:rsid w:val="00A81465"/>
    <w:rsid w:val="00A833A7"/>
    <w:rsid w:val="00A86AB0"/>
    <w:rsid w:val="00A87262"/>
    <w:rsid w:val="00A90F79"/>
    <w:rsid w:val="00A93929"/>
    <w:rsid w:val="00A9509B"/>
    <w:rsid w:val="00A963E4"/>
    <w:rsid w:val="00A97C90"/>
    <w:rsid w:val="00AA15A6"/>
    <w:rsid w:val="00AA182F"/>
    <w:rsid w:val="00AA3F58"/>
    <w:rsid w:val="00AA4870"/>
    <w:rsid w:val="00AA6B5D"/>
    <w:rsid w:val="00AB1D83"/>
    <w:rsid w:val="00AB5668"/>
    <w:rsid w:val="00AB587E"/>
    <w:rsid w:val="00AB6697"/>
    <w:rsid w:val="00AC0CA3"/>
    <w:rsid w:val="00AC24D8"/>
    <w:rsid w:val="00AC2F0E"/>
    <w:rsid w:val="00AC6B22"/>
    <w:rsid w:val="00AD13AD"/>
    <w:rsid w:val="00AE08D3"/>
    <w:rsid w:val="00AE225B"/>
    <w:rsid w:val="00AE46A4"/>
    <w:rsid w:val="00AE535D"/>
    <w:rsid w:val="00AE69CE"/>
    <w:rsid w:val="00AF08E9"/>
    <w:rsid w:val="00AF0B26"/>
    <w:rsid w:val="00AF2165"/>
    <w:rsid w:val="00AF6826"/>
    <w:rsid w:val="00B00877"/>
    <w:rsid w:val="00B02697"/>
    <w:rsid w:val="00B0719C"/>
    <w:rsid w:val="00B14CC8"/>
    <w:rsid w:val="00B17240"/>
    <w:rsid w:val="00B234C1"/>
    <w:rsid w:val="00B248CE"/>
    <w:rsid w:val="00B24E37"/>
    <w:rsid w:val="00B25020"/>
    <w:rsid w:val="00B256C8"/>
    <w:rsid w:val="00B256F6"/>
    <w:rsid w:val="00B272EE"/>
    <w:rsid w:val="00B302A1"/>
    <w:rsid w:val="00B31FCC"/>
    <w:rsid w:val="00B3557A"/>
    <w:rsid w:val="00B3740D"/>
    <w:rsid w:val="00B3776F"/>
    <w:rsid w:val="00B418AB"/>
    <w:rsid w:val="00B41ACE"/>
    <w:rsid w:val="00B4291F"/>
    <w:rsid w:val="00B42B7C"/>
    <w:rsid w:val="00B42F55"/>
    <w:rsid w:val="00B46CA3"/>
    <w:rsid w:val="00B5591E"/>
    <w:rsid w:val="00B565C7"/>
    <w:rsid w:val="00B56F47"/>
    <w:rsid w:val="00B608C5"/>
    <w:rsid w:val="00B61CEF"/>
    <w:rsid w:val="00B657D7"/>
    <w:rsid w:val="00B659E9"/>
    <w:rsid w:val="00B677D1"/>
    <w:rsid w:val="00B7130A"/>
    <w:rsid w:val="00B71CA8"/>
    <w:rsid w:val="00B753C1"/>
    <w:rsid w:val="00B82CCF"/>
    <w:rsid w:val="00B83052"/>
    <w:rsid w:val="00B8677C"/>
    <w:rsid w:val="00B90FC3"/>
    <w:rsid w:val="00B92387"/>
    <w:rsid w:val="00B9395A"/>
    <w:rsid w:val="00B93A38"/>
    <w:rsid w:val="00B95280"/>
    <w:rsid w:val="00B9638C"/>
    <w:rsid w:val="00BA5133"/>
    <w:rsid w:val="00BA5885"/>
    <w:rsid w:val="00BA59F6"/>
    <w:rsid w:val="00BA6774"/>
    <w:rsid w:val="00BB0763"/>
    <w:rsid w:val="00BB0E01"/>
    <w:rsid w:val="00BB1CB2"/>
    <w:rsid w:val="00BB21F1"/>
    <w:rsid w:val="00BB4264"/>
    <w:rsid w:val="00BB4B2D"/>
    <w:rsid w:val="00BB6099"/>
    <w:rsid w:val="00BB6BDE"/>
    <w:rsid w:val="00BB702A"/>
    <w:rsid w:val="00BC0FBE"/>
    <w:rsid w:val="00BC1D98"/>
    <w:rsid w:val="00BC3F50"/>
    <w:rsid w:val="00BD324F"/>
    <w:rsid w:val="00BD3603"/>
    <w:rsid w:val="00BD702A"/>
    <w:rsid w:val="00BE0161"/>
    <w:rsid w:val="00BE1766"/>
    <w:rsid w:val="00BE3275"/>
    <w:rsid w:val="00BE36C6"/>
    <w:rsid w:val="00BE5F84"/>
    <w:rsid w:val="00BF0DFB"/>
    <w:rsid w:val="00BF14CF"/>
    <w:rsid w:val="00BF48F2"/>
    <w:rsid w:val="00BF648F"/>
    <w:rsid w:val="00C00A12"/>
    <w:rsid w:val="00C01354"/>
    <w:rsid w:val="00C02E08"/>
    <w:rsid w:val="00C04FEC"/>
    <w:rsid w:val="00C05052"/>
    <w:rsid w:val="00C0544C"/>
    <w:rsid w:val="00C064AA"/>
    <w:rsid w:val="00C10643"/>
    <w:rsid w:val="00C15609"/>
    <w:rsid w:val="00C16EAB"/>
    <w:rsid w:val="00C23757"/>
    <w:rsid w:val="00C2432E"/>
    <w:rsid w:val="00C25332"/>
    <w:rsid w:val="00C25933"/>
    <w:rsid w:val="00C27C2B"/>
    <w:rsid w:val="00C32F04"/>
    <w:rsid w:val="00C3318C"/>
    <w:rsid w:val="00C34F6D"/>
    <w:rsid w:val="00C3720A"/>
    <w:rsid w:val="00C41DCA"/>
    <w:rsid w:val="00C45720"/>
    <w:rsid w:val="00C51934"/>
    <w:rsid w:val="00C549B2"/>
    <w:rsid w:val="00C55715"/>
    <w:rsid w:val="00C56FA8"/>
    <w:rsid w:val="00C61C00"/>
    <w:rsid w:val="00C62802"/>
    <w:rsid w:val="00C6346F"/>
    <w:rsid w:val="00C73DB2"/>
    <w:rsid w:val="00C75067"/>
    <w:rsid w:val="00C802CF"/>
    <w:rsid w:val="00C830BD"/>
    <w:rsid w:val="00C84E19"/>
    <w:rsid w:val="00C85194"/>
    <w:rsid w:val="00C95F53"/>
    <w:rsid w:val="00C97F3E"/>
    <w:rsid w:val="00CA00FB"/>
    <w:rsid w:val="00CA0715"/>
    <w:rsid w:val="00CA11BC"/>
    <w:rsid w:val="00CA1CD2"/>
    <w:rsid w:val="00CA39D0"/>
    <w:rsid w:val="00CA48E6"/>
    <w:rsid w:val="00CA4E7E"/>
    <w:rsid w:val="00CA67C6"/>
    <w:rsid w:val="00CB14B8"/>
    <w:rsid w:val="00CB262F"/>
    <w:rsid w:val="00CB39DC"/>
    <w:rsid w:val="00CB4939"/>
    <w:rsid w:val="00CB5977"/>
    <w:rsid w:val="00CB5E07"/>
    <w:rsid w:val="00CB5FDB"/>
    <w:rsid w:val="00CC36CA"/>
    <w:rsid w:val="00CC6EF3"/>
    <w:rsid w:val="00CC7A2E"/>
    <w:rsid w:val="00CC7AEB"/>
    <w:rsid w:val="00CD27CB"/>
    <w:rsid w:val="00CD478B"/>
    <w:rsid w:val="00CD6BE5"/>
    <w:rsid w:val="00CD77F5"/>
    <w:rsid w:val="00CD7CD7"/>
    <w:rsid w:val="00CD7DD7"/>
    <w:rsid w:val="00CE0245"/>
    <w:rsid w:val="00CE47BF"/>
    <w:rsid w:val="00CE76D0"/>
    <w:rsid w:val="00CF43D3"/>
    <w:rsid w:val="00CF4997"/>
    <w:rsid w:val="00CF7256"/>
    <w:rsid w:val="00CF75BB"/>
    <w:rsid w:val="00D03579"/>
    <w:rsid w:val="00D04FCE"/>
    <w:rsid w:val="00D11D9E"/>
    <w:rsid w:val="00D13247"/>
    <w:rsid w:val="00D1341B"/>
    <w:rsid w:val="00D13E31"/>
    <w:rsid w:val="00D16614"/>
    <w:rsid w:val="00D2127E"/>
    <w:rsid w:val="00D228D1"/>
    <w:rsid w:val="00D22DFA"/>
    <w:rsid w:val="00D24B8C"/>
    <w:rsid w:val="00D26AA8"/>
    <w:rsid w:val="00D27019"/>
    <w:rsid w:val="00D315DA"/>
    <w:rsid w:val="00D3317F"/>
    <w:rsid w:val="00D360BE"/>
    <w:rsid w:val="00D40BC5"/>
    <w:rsid w:val="00D40F06"/>
    <w:rsid w:val="00D44057"/>
    <w:rsid w:val="00D44B67"/>
    <w:rsid w:val="00D44E81"/>
    <w:rsid w:val="00D4599E"/>
    <w:rsid w:val="00D47576"/>
    <w:rsid w:val="00D479E8"/>
    <w:rsid w:val="00D542F2"/>
    <w:rsid w:val="00D5493C"/>
    <w:rsid w:val="00D56F9B"/>
    <w:rsid w:val="00D61162"/>
    <w:rsid w:val="00D61BD1"/>
    <w:rsid w:val="00D631BE"/>
    <w:rsid w:val="00D635C4"/>
    <w:rsid w:val="00D65D0C"/>
    <w:rsid w:val="00D66AE2"/>
    <w:rsid w:val="00D66B0F"/>
    <w:rsid w:val="00D671EA"/>
    <w:rsid w:val="00D72C3B"/>
    <w:rsid w:val="00D74180"/>
    <w:rsid w:val="00D744B4"/>
    <w:rsid w:val="00D7549F"/>
    <w:rsid w:val="00D77416"/>
    <w:rsid w:val="00D774D4"/>
    <w:rsid w:val="00D7757D"/>
    <w:rsid w:val="00D8023F"/>
    <w:rsid w:val="00D80950"/>
    <w:rsid w:val="00D8348B"/>
    <w:rsid w:val="00D868F2"/>
    <w:rsid w:val="00D86FDE"/>
    <w:rsid w:val="00D8757C"/>
    <w:rsid w:val="00D908D3"/>
    <w:rsid w:val="00D90C19"/>
    <w:rsid w:val="00D91C36"/>
    <w:rsid w:val="00D94AE6"/>
    <w:rsid w:val="00D94BB9"/>
    <w:rsid w:val="00D95048"/>
    <w:rsid w:val="00DA1AE4"/>
    <w:rsid w:val="00DA283C"/>
    <w:rsid w:val="00DA437B"/>
    <w:rsid w:val="00DA78D7"/>
    <w:rsid w:val="00DB0831"/>
    <w:rsid w:val="00DB1859"/>
    <w:rsid w:val="00DB1D37"/>
    <w:rsid w:val="00DB3A56"/>
    <w:rsid w:val="00DB6FE7"/>
    <w:rsid w:val="00DC1D00"/>
    <w:rsid w:val="00DC2A9F"/>
    <w:rsid w:val="00DC552D"/>
    <w:rsid w:val="00DC7B47"/>
    <w:rsid w:val="00DD1A5C"/>
    <w:rsid w:val="00DD1F41"/>
    <w:rsid w:val="00DD34E5"/>
    <w:rsid w:val="00DD3639"/>
    <w:rsid w:val="00DD4360"/>
    <w:rsid w:val="00DD6DD7"/>
    <w:rsid w:val="00DD6FD2"/>
    <w:rsid w:val="00DE1373"/>
    <w:rsid w:val="00DE21B5"/>
    <w:rsid w:val="00DE2EF0"/>
    <w:rsid w:val="00DE5A74"/>
    <w:rsid w:val="00DF0EBB"/>
    <w:rsid w:val="00DF22C3"/>
    <w:rsid w:val="00DF298C"/>
    <w:rsid w:val="00DF40A0"/>
    <w:rsid w:val="00DF4135"/>
    <w:rsid w:val="00DF5A45"/>
    <w:rsid w:val="00DF6369"/>
    <w:rsid w:val="00DF693A"/>
    <w:rsid w:val="00E0259E"/>
    <w:rsid w:val="00E0287C"/>
    <w:rsid w:val="00E0318A"/>
    <w:rsid w:val="00E04CC3"/>
    <w:rsid w:val="00E1000C"/>
    <w:rsid w:val="00E10BFF"/>
    <w:rsid w:val="00E1186D"/>
    <w:rsid w:val="00E1484A"/>
    <w:rsid w:val="00E152C9"/>
    <w:rsid w:val="00E2020D"/>
    <w:rsid w:val="00E21A06"/>
    <w:rsid w:val="00E2576F"/>
    <w:rsid w:val="00E30197"/>
    <w:rsid w:val="00E30704"/>
    <w:rsid w:val="00E30B21"/>
    <w:rsid w:val="00E344E1"/>
    <w:rsid w:val="00E34784"/>
    <w:rsid w:val="00E42B97"/>
    <w:rsid w:val="00E46AF8"/>
    <w:rsid w:val="00E5409A"/>
    <w:rsid w:val="00E5458F"/>
    <w:rsid w:val="00E61333"/>
    <w:rsid w:val="00E6159D"/>
    <w:rsid w:val="00E62805"/>
    <w:rsid w:val="00E67AB7"/>
    <w:rsid w:val="00E743FC"/>
    <w:rsid w:val="00E760DC"/>
    <w:rsid w:val="00E772BA"/>
    <w:rsid w:val="00E80BCE"/>
    <w:rsid w:val="00E80EFF"/>
    <w:rsid w:val="00E81CF1"/>
    <w:rsid w:val="00E82532"/>
    <w:rsid w:val="00E855FA"/>
    <w:rsid w:val="00E85BD7"/>
    <w:rsid w:val="00E85F4F"/>
    <w:rsid w:val="00E87612"/>
    <w:rsid w:val="00E905AE"/>
    <w:rsid w:val="00E92ACD"/>
    <w:rsid w:val="00E974A2"/>
    <w:rsid w:val="00EA0415"/>
    <w:rsid w:val="00EA5AB5"/>
    <w:rsid w:val="00EA5D6A"/>
    <w:rsid w:val="00EA6950"/>
    <w:rsid w:val="00EB57E9"/>
    <w:rsid w:val="00EC05E9"/>
    <w:rsid w:val="00EC2A61"/>
    <w:rsid w:val="00EC2D7F"/>
    <w:rsid w:val="00EC614F"/>
    <w:rsid w:val="00EC6556"/>
    <w:rsid w:val="00ED1FD7"/>
    <w:rsid w:val="00ED3275"/>
    <w:rsid w:val="00ED3A25"/>
    <w:rsid w:val="00ED5234"/>
    <w:rsid w:val="00ED5C41"/>
    <w:rsid w:val="00EE1152"/>
    <w:rsid w:val="00EE2474"/>
    <w:rsid w:val="00EF28C5"/>
    <w:rsid w:val="00EF324E"/>
    <w:rsid w:val="00EF349C"/>
    <w:rsid w:val="00EF39B2"/>
    <w:rsid w:val="00EF39ED"/>
    <w:rsid w:val="00F021CF"/>
    <w:rsid w:val="00F05B0F"/>
    <w:rsid w:val="00F12BB0"/>
    <w:rsid w:val="00F13DE3"/>
    <w:rsid w:val="00F13E79"/>
    <w:rsid w:val="00F16AF2"/>
    <w:rsid w:val="00F17BAE"/>
    <w:rsid w:val="00F2001D"/>
    <w:rsid w:val="00F20029"/>
    <w:rsid w:val="00F2201F"/>
    <w:rsid w:val="00F23852"/>
    <w:rsid w:val="00F24D86"/>
    <w:rsid w:val="00F318B8"/>
    <w:rsid w:val="00F323B7"/>
    <w:rsid w:val="00F33B15"/>
    <w:rsid w:val="00F341B8"/>
    <w:rsid w:val="00F417A3"/>
    <w:rsid w:val="00F42B7E"/>
    <w:rsid w:val="00F42C82"/>
    <w:rsid w:val="00F42EDB"/>
    <w:rsid w:val="00F44275"/>
    <w:rsid w:val="00F46C0C"/>
    <w:rsid w:val="00F5064E"/>
    <w:rsid w:val="00F55B72"/>
    <w:rsid w:val="00F6056C"/>
    <w:rsid w:val="00F60CB5"/>
    <w:rsid w:val="00F61581"/>
    <w:rsid w:val="00F62E7F"/>
    <w:rsid w:val="00F63BB9"/>
    <w:rsid w:val="00F658B9"/>
    <w:rsid w:val="00F67DBB"/>
    <w:rsid w:val="00F700AA"/>
    <w:rsid w:val="00F718B0"/>
    <w:rsid w:val="00F73A71"/>
    <w:rsid w:val="00F77D48"/>
    <w:rsid w:val="00F8293E"/>
    <w:rsid w:val="00F82BD4"/>
    <w:rsid w:val="00F84C94"/>
    <w:rsid w:val="00F90BB6"/>
    <w:rsid w:val="00F915D1"/>
    <w:rsid w:val="00F91939"/>
    <w:rsid w:val="00F93E86"/>
    <w:rsid w:val="00F9576D"/>
    <w:rsid w:val="00F95F0C"/>
    <w:rsid w:val="00F9732F"/>
    <w:rsid w:val="00FA0E7F"/>
    <w:rsid w:val="00FA3548"/>
    <w:rsid w:val="00FA4B38"/>
    <w:rsid w:val="00FA50EB"/>
    <w:rsid w:val="00FA6DC0"/>
    <w:rsid w:val="00FA7EB1"/>
    <w:rsid w:val="00FB1CEC"/>
    <w:rsid w:val="00FB419B"/>
    <w:rsid w:val="00FB46DC"/>
    <w:rsid w:val="00FB6F9F"/>
    <w:rsid w:val="00FB7A48"/>
    <w:rsid w:val="00FC12FE"/>
    <w:rsid w:val="00FC1489"/>
    <w:rsid w:val="00FC3441"/>
    <w:rsid w:val="00FD1ED3"/>
    <w:rsid w:val="00FD6C28"/>
    <w:rsid w:val="00FE1287"/>
    <w:rsid w:val="00FE310B"/>
    <w:rsid w:val="00FE39B9"/>
    <w:rsid w:val="00FE6AD7"/>
    <w:rsid w:val="00FF1BA9"/>
    <w:rsid w:val="00FF5290"/>
    <w:rsid w:val="00FF60DC"/>
    <w:rsid w:val="019C3A88"/>
    <w:rsid w:val="02287D7E"/>
    <w:rsid w:val="030E6553"/>
    <w:rsid w:val="03960557"/>
    <w:rsid w:val="03C84930"/>
    <w:rsid w:val="03DF7E09"/>
    <w:rsid w:val="03E67E90"/>
    <w:rsid w:val="03F212BF"/>
    <w:rsid w:val="043613A4"/>
    <w:rsid w:val="044B08D1"/>
    <w:rsid w:val="04615143"/>
    <w:rsid w:val="04754202"/>
    <w:rsid w:val="048320BB"/>
    <w:rsid w:val="04B563C2"/>
    <w:rsid w:val="054B71E0"/>
    <w:rsid w:val="05531A54"/>
    <w:rsid w:val="05E53AA2"/>
    <w:rsid w:val="05F92C68"/>
    <w:rsid w:val="0620235A"/>
    <w:rsid w:val="06571B7A"/>
    <w:rsid w:val="06B10ACD"/>
    <w:rsid w:val="06C25923"/>
    <w:rsid w:val="071D11C9"/>
    <w:rsid w:val="077111CE"/>
    <w:rsid w:val="0772575A"/>
    <w:rsid w:val="07DA3A8F"/>
    <w:rsid w:val="08316975"/>
    <w:rsid w:val="089D7C92"/>
    <w:rsid w:val="09C92DD3"/>
    <w:rsid w:val="09CF6E4B"/>
    <w:rsid w:val="0AB4609E"/>
    <w:rsid w:val="0ADE415D"/>
    <w:rsid w:val="0BD554C2"/>
    <w:rsid w:val="0C63073D"/>
    <w:rsid w:val="0C7318E1"/>
    <w:rsid w:val="0CCF6888"/>
    <w:rsid w:val="0D0C188A"/>
    <w:rsid w:val="0DD71E98"/>
    <w:rsid w:val="0E43752E"/>
    <w:rsid w:val="0F121EF0"/>
    <w:rsid w:val="101038B6"/>
    <w:rsid w:val="10196798"/>
    <w:rsid w:val="11304CEB"/>
    <w:rsid w:val="118916FB"/>
    <w:rsid w:val="11AF4DCB"/>
    <w:rsid w:val="11CB238C"/>
    <w:rsid w:val="11DF1890"/>
    <w:rsid w:val="126A6425"/>
    <w:rsid w:val="127E6D86"/>
    <w:rsid w:val="12955111"/>
    <w:rsid w:val="12B427A8"/>
    <w:rsid w:val="12CC6E6D"/>
    <w:rsid w:val="13806E42"/>
    <w:rsid w:val="140E7482"/>
    <w:rsid w:val="1440520B"/>
    <w:rsid w:val="14654E7D"/>
    <w:rsid w:val="14737EE6"/>
    <w:rsid w:val="149063EC"/>
    <w:rsid w:val="151A0368"/>
    <w:rsid w:val="15563851"/>
    <w:rsid w:val="171071EA"/>
    <w:rsid w:val="174F62D6"/>
    <w:rsid w:val="17EE77F0"/>
    <w:rsid w:val="180F7034"/>
    <w:rsid w:val="183A0A1F"/>
    <w:rsid w:val="187A1D9E"/>
    <w:rsid w:val="18D56A9E"/>
    <w:rsid w:val="19006747"/>
    <w:rsid w:val="190525BE"/>
    <w:rsid w:val="198C1D89"/>
    <w:rsid w:val="19C23937"/>
    <w:rsid w:val="1A342318"/>
    <w:rsid w:val="1A9E3268"/>
    <w:rsid w:val="1B74013C"/>
    <w:rsid w:val="1BCA1848"/>
    <w:rsid w:val="1C762227"/>
    <w:rsid w:val="1CDC3027"/>
    <w:rsid w:val="1CFA34AD"/>
    <w:rsid w:val="1D303737"/>
    <w:rsid w:val="1D9F120E"/>
    <w:rsid w:val="1E0D2BED"/>
    <w:rsid w:val="1E591AD6"/>
    <w:rsid w:val="1E7B37A5"/>
    <w:rsid w:val="1EA44D1C"/>
    <w:rsid w:val="1EB0258C"/>
    <w:rsid w:val="1ECD2D49"/>
    <w:rsid w:val="1F14499E"/>
    <w:rsid w:val="1F5B26C7"/>
    <w:rsid w:val="1F5C044F"/>
    <w:rsid w:val="1FF450C0"/>
    <w:rsid w:val="203A4DF7"/>
    <w:rsid w:val="20793160"/>
    <w:rsid w:val="21430A11"/>
    <w:rsid w:val="215A4BDB"/>
    <w:rsid w:val="21962D82"/>
    <w:rsid w:val="219D221A"/>
    <w:rsid w:val="21AB33D9"/>
    <w:rsid w:val="223A41F0"/>
    <w:rsid w:val="224109E7"/>
    <w:rsid w:val="224F2695"/>
    <w:rsid w:val="22CA56D0"/>
    <w:rsid w:val="22EB689E"/>
    <w:rsid w:val="235E2371"/>
    <w:rsid w:val="248F38ED"/>
    <w:rsid w:val="249C2E00"/>
    <w:rsid w:val="24B147FA"/>
    <w:rsid w:val="251F5A1E"/>
    <w:rsid w:val="274160AD"/>
    <w:rsid w:val="27F62AEE"/>
    <w:rsid w:val="283223CC"/>
    <w:rsid w:val="2866365B"/>
    <w:rsid w:val="28E50C7F"/>
    <w:rsid w:val="28EB2659"/>
    <w:rsid w:val="28EC345C"/>
    <w:rsid w:val="29202FD3"/>
    <w:rsid w:val="2A44220C"/>
    <w:rsid w:val="2AAA7399"/>
    <w:rsid w:val="2AB14810"/>
    <w:rsid w:val="2AD3072D"/>
    <w:rsid w:val="2B3B2B00"/>
    <w:rsid w:val="2B6C7C6C"/>
    <w:rsid w:val="2BDD6474"/>
    <w:rsid w:val="2C0B54C5"/>
    <w:rsid w:val="2C292017"/>
    <w:rsid w:val="2C6674BC"/>
    <w:rsid w:val="2CAC4BA2"/>
    <w:rsid w:val="2CB35C78"/>
    <w:rsid w:val="2CF23FA9"/>
    <w:rsid w:val="2CF40890"/>
    <w:rsid w:val="2D1719A4"/>
    <w:rsid w:val="2DDE509E"/>
    <w:rsid w:val="2F204A26"/>
    <w:rsid w:val="2F3045A4"/>
    <w:rsid w:val="2F567AA0"/>
    <w:rsid w:val="301645BB"/>
    <w:rsid w:val="30302844"/>
    <w:rsid w:val="30654C8A"/>
    <w:rsid w:val="309F5392"/>
    <w:rsid w:val="30B4367E"/>
    <w:rsid w:val="3161171F"/>
    <w:rsid w:val="319A28B2"/>
    <w:rsid w:val="3276083D"/>
    <w:rsid w:val="329A3661"/>
    <w:rsid w:val="32C46422"/>
    <w:rsid w:val="32D16C5C"/>
    <w:rsid w:val="339B19D0"/>
    <w:rsid w:val="33EE2317"/>
    <w:rsid w:val="3508551A"/>
    <w:rsid w:val="359C0F7A"/>
    <w:rsid w:val="35E113E3"/>
    <w:rsid w:val="370B120F"/>
    <w:rsid w:val="37776170"/>
    <w:rsid w:val="37781747"/>
    <w:rsid w:val="37847CCD"/>
    <w:rsid w:val="378B37C3"/>
    <w:rsid w:val="37CD2E49"/>
    <w:rsid w:val="381C1DAF"/>
    <w:rsid w:val="382B35B4"/>
    <w:rsid w:val="3941563D"/>
    <w:rsid w:val="3AE332B3"/>
    <w:rsid w:val="3B071D45"/>
    <w:rsid w:val="3BB54959"/>
    <w:rsid w:val="3C8C247C"/>
    <w:rsid w:val="3D514278"/>
    <w:rsid w:val="3D65545B"/>
    <w:rsid w:val="3DFB2CDF"/>
    <w:rsid w:val="3E7C6D69"/>
    <w:rsid w:val="3EB83A8B"/>
    <w:rsid w:val="3EE51A3E"/>
    <w:rsid w:val="3F4D512E"/>
    <w:rsid w:val="3FA119B7"/>
    <w:rsid w:val="40177DE3"/>
    <w:rsid w:val="407A192C"/>
    <w:rsid w:val="417A1877"/>
    <w:rsid w:val="4186089B"/>
    <w:rsid w:val="42654E02"/>
    <w:rsid w:val="427C0258"/>
    <w:rsid w:val="42EF614C"/>
    <w:rsid w:val="432253DD"/>
    <w:rsid w:val="43863DDA"/>
    <w:rsid w:val="43D011EA"/>
    <w:rsid w:val="441477C8"/>
    <w:rsid w:val="444011F1"/>
    <w:rsid w:val="444939F2"/>
    <w:rsid w:val="44557E80"/>
    <w:rsid w:val="4473408E"/>
    <w:rsid w:val="45551365"/>
    <w:rsid w:val="45CD7101"/>
    <w:rsid w:val="46484442"/>
    <w:rsid w:val="476F66C2"/>
    <w:rsid w:val="47B01446"/>
    <w:rsid w:val="47CC27EE"/>
    <w:rsid w:val="480C3F11"/>
    <w:rsid w:val="482809DA"/>
    <w:rsid w:val="491E1806"/>
    <w:rsid w:val="496B47B7"/>
    <w:rsid w:val="4A0B7731"/>
    <w:rsid w:val="4A9A751F"/>
    <w:rsid w:val="4AB8212E"/>
    <w:rsid w:val="4AC05A5A"/>
    <w:rsid w:val="4AE10089"/>
    <w:rsid w:val="4B022328"/>
    <w:rsid w:val="4B384AFB"/>
    <w:rsid w:val="4B3A2C42"/>
    <w:rsid w:val="4B3A3DE4"/>
    <w:rsid w:val="4B6217B9"/>
    <w:rsid w:val="4B701FD3"/>
    <w:rsid w:val="4B77032C"/>
    <w:rsid w:val="4BCA4DC2"/>
    <w:rsid w:val="4BD125AC"/>
    <w:rsid w:val="4BD340D8"/>
    <w:rsid w:val="4C360546"/>
    <w:rsid w:val="4CFF75D5"/>
    <w:rsid w:val="4DAE5F5E"/>
    <w:rsid w:val="4DFB284E"/>
    <w:rsid w:val="4E6B5729"/>
    <w:rsid w:val="4EA404FD"/>
    <w:rsid w:val="4EEF2B0D"/>
    <w:rsid w:val="4FA56487"/>
    <w:rsid w:val="4FC44EDC"/>
    <w:rsid w:val="4FF051A0"/>
    <w:rsid w:val="50141FA4"/>
    <w:rsid w:val="507506FE"/>
    <w:rsid w:val="50D954C3"/>
    <w:rsid w:val="50DF106C"/>
    <w:rsid w:val="50FE2791"/>
    <w:rsid w:val="51752B27"/>
    <w:rsid w:val="52C12FB4"/>
    <w:rsid w:val="53307DE8"/>
    <w:rsid w:val="535B5D4C"/>
    <w:rsid w:val="53866EE0"/>
    <w:rsid w:val="538F587F"/>
    <w:rsid w:val="544E2FF3"/>
    <w:rsid w:val="54791DE5"/>
    <w:rsid w:val="54817DA8"/>
    <w:rsid w:val="55D63612"/>
    <w:rsid w:val="56C113D0"/>
    <w:rsid w:val="56CB143B"/>
    <w:rsid w:val="57E05BE1"/>
    <w:rsid w:val="58346A24"/>
    <w:rsid w:val="58F72073"/>
    <w:rsid w:val="59464DA9"/>
    <w:rsid w:val="59654F1B"/>
    <w:rsid w:val="59F82547"/>
    <w:rsid w:val="5A8E6B50"/>
    <w:rsid w:val="5B526E3B"/>
    <w:rsid w:val="5CC04885"/>
    <w:rsid w:val="5D176670"/>
    <w:rsid w:val="5DB42246"/>
    <w:rsid w:val="5DBC1ADE"/>
    <w:rsid w:val="5E0D2C7D"/>
    <w:rsid w:val="5E2C755E"/>
    <w:rsid w:val="5E4A6AF2"/>
    <w:rsid w:val="5EFB5FCF"/>
    <w:rsid w:val="5F185E67"/>
    <w:rsid w:val="5F912EFC"/>
    <w:rsid w:val="5FA752A4"/>
    <w:rsid w:val="60032F94"/>
    <w:rsid w:val="60532394"/>
    <w:rsid w:val="605C4EB2"/>
    <w:rsid w:val="609346F9"/>
    <w:rsid w:val="60976762"/>
    <w:rsid w:val="60E87DCD"/>
    <w:rsid w:val="615674ED"/>
    <w:rsid w:val="62202150"/>
    <w:rsid w:val="62255EA3"/>
    <w:rsid w:val="635001EF"/>
    <w:rsid w:val="637048DB"/>
    <w:rsid w:val="63D0272B"/>
    <w:rsid w:val="64834717"/>
    <w:rsid w:val="64AA146F"/>
    <w:rsid w:val="64F629E2"/>
    <w:rsid w:val="650B1EAB"/>
    <w:rsid w:val="65335497"/>
    <w:rsid w:val="65431800"/>
    <w:rsid w:val="659956F1"/>
    <w:rsid w:val="65D76172"/>
    <w:rsid w:val="66C77325"/>
    <w:rsid w:val="66CE3288"/>
    <w:rsid w:val="678673E4"/>
    <w:rsid w:val="68931D4F"/>
    <w:rsid w:val="68996CA3"/>
    <w:rsid w:val="68C6406F"/>
    <w:rsid w:val="6A1638AD"/>
    <w:rsid w:val="6A3944D6"/>
    <w:rsid w:val="6A411797"/>
    <w:rsid w:val="6B4551DF"/>
    <w:rsid w:val="6B9E2823"/>
    <w:rsid w:val="6BC935EB"/>
    <w:rsid w:val="6C1D59BA"/>
    <w:rsid w:val="6C992C34"/>
    <w:rsid w:val="6CA95923"/>
    <w:rsid w:val="6CDF45CD"/>
    <w:rsid w:val="6D2C75BD"/>
    <w:rsid w:val="6D7418A4"/>
    <w:rsid w:val="6D756958"/>
    <w:rsid w:val="6E3B0A20"/>
    <w:rsid w:val="6FB56421"/>
    <w:rsid w:val="70227EC6"/>
    <w:rsid w:val="71035C45"/>
    <w:rsid w:val="718323E3"/>
    <w:rsid w:val="718B3849"/>
    <w:rsid w:val="719A58E8"/>
    <w:rsid w:val="72E90ED3"/>
    <w:rsid w:val="73663647"/>
    <w:rsid w:val="7377015A"/>
    <w:rsid w:val="73966C01"/>
    <w:rsid w:val="739D2BFF"/>
    <w:rsid w:val="73B77D0C"/>
    <w:rsid w:val="73C37269"/>
    <w:rsid w:val="74027DBB"/>
    <w:rsid w:val="752419D7"/>
    <w:rsid w:val="7526130E"/>
    <w:rsid w:val="75A62E64"/>
    <w:rsid w:val="75B4228D"/>
    <w:rsid w:val="75BB53FD"/>
    <w:rsid w:val="75E96582"/>
    <w:rsid w:val="76470CAA"/>
    <w:rsid w:val="764D1082"/>
    <w:rsid w:val="766F2799"/>
    <w:rsid w:val="76FC63AD"/>
    <w:rsid w:val="772C5186"/>
    <w:rsid w:val="773B6256"/>
    <w:rsid w:val="774C0D1D"/>
    <w:rsid w:val="776D5ECB"/>
    <w:rsid w:val="780B7492"/>
    <w:rsid w:val="792C0FD8"/>
    <w:rsid w:val="7A3C0663"/>
    <w:rsid w:val="7AC758F2"/>
    <w:rsid w:val="7ADE2766"/>
    <w:rsid w:val="7D07233B"/>
    <w:rsid w:val="7D1B6488"/>
    <w:rsid w:val="7D40391F"/>
    <w:rsid w:val="7DF96BCA"/>
    <w:rsid w:val="7E1251F4"/>
    <w:rsid w:val="7E1C2E5A"/>
    <w:rsid w:val="7E6416AA"/>
    <w:rsid w:val="7EE66F59"/>
    <w:rsid w:val="7F1A6E76"/>
    <w:rsid w:val="7F1F783D"/>
    <w:rsid w:val="7FAF3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1" w:semiHidden="0" w:name="heading 3"/>
    <w:lsdException w:qFormat="1" w:uiPriority="1" w:semiHidden="0" w:name="heading 4"/>
    <w:lsdException w:qFormat="1" w:uiPriority="1"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4">
    <w:name w:val="heading 1"/>
    <w:basedOn w:val="1"/>
    <w:next w:val="1"/>
    <w:qFormat/>
    <w:uiPriority w:val="1"/>
    <w:pPr>
      <w:keepNext/>
      <w:keepLines/>
      <w:spacing w:line="360" w:lineRule="auto"/>
      <w:ind w:firstLine="1040" w:firstLineChars="200"/>
      <w:outlineLvl w:val="0"/>
    </w:pPr>
    <w:rPr>
      <w:rFonts w:eastAsia="方正黑体简体"/>
      <w:kern w:val="44"/>
      <w:sz w:val="32"/>
    </w:rPr>
  </w:style>
  <w:style w:type="paragraph" w:styleId="5">
    <w:name w:val="heading 2"/>
    <w:basedOn w:val="1"/>
    <w:next w:val="1"/>
    <w:link w:val="30"/>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paragraph" w:styleId="6">
    <w:name w:val="heading 3"/>
    <w:basedOn w:val="1"/>
    <w:next w:val="1"/>
    <w:unhideWhenUsed/>
    <w:qFormat/>
    <w:uiPriority w:val="1"/>
    <w:pPr>
      <w:keepNext/>
      <w:keepLines/>
      <w:spacing w:before="260" w:after="260" w:line="413" w:lineRule="auto"/>
      <w:outlineLvl w:val="2"/>
    </w:pPr>
    <w:rPr>
      <w:b/>
      <w:sz w:val="32"/>
    </w:rPr>
  </w:style>
  <w:style w:type="paragraph" w:styleId="7">
    <w:name w:val="heading 4"/>
    <w:basedOn w:val="1"/>
    <w:next w:val="1"/>
    <w:link w:val="35"/>
    <w:unhideWhenUsed/>
    <w:qFormat/>
    <w:uiPriority w:val="1"/>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33"/>
    <w:unhideWhenUsed/>
    <w:qFormat/>
    <w:uiPriority w:val="1"/>
    <w:pPr>
      <w:keepNext/>
      <w:keepLines/>
      <w:spacing w:before="280" w:after="290" w:line="376" w:lineRule="auto"/>
      <w:outlineLvl w:val="4"/>
    </w:pPr>
    <w:rPr>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qFormat/>
    <w:uiPriority w:val="0"/>
    <w:pPr>
      <w:spacing w:after="120"/>
      <w:ind w:left="420" w:leftChars="200"/>
      <w:jc w:val="left"/>
    </w:pPr>
    <w:rPr>
      <w:rFonts w:hint="eastAsia" w:ascii="宋体" w:hAnsi="宋体" w:eastAsia="宋体"/>
      <w:kern w:val="0"/>
      <w:sz w:val="24"/>
      <w:szCs w:val="24"/>
    </w:rPr>
  </w:style>
  <w:style w:type="paragraph" w:styleId="9">
    <w:name w:val="Normal Indent"/>
    <w:basedOn w:val="1"/>
    <w:next w:val="10"/>
    <w:qFormat/>
    <w:uiPriority w:val="0"/>
    <w:pPr>
      <w:spacing w:line="360" w:lineRule="auto"/>
      <w:ind w:firstLine="420" w:firstLineChars="200"/>
      <w:jc w:val="left"/>
    </w:pPr>
    <w:rPr>
      <w:rFonts w:ascii="仿宋_GB2312" w:hAnsi="Arial" w:eastAsia="仿宋_GB2312"/>
      <w:kern w:val="0"/>
      <w:sz w:val="30"/>
      <w:szCs w:val="30"/>
    </w:rPr>
  </w:style>
  <w:style w:type="paragraph" w:styleId="10">
    <w:name w:val="Body Text"/>
    <w:basedOn w:val="1"/>
    <w:link w:val="34"/>
    <w:unhideWhenUsed/>
    <w:qFormat/>
    <w:uiPriority w:val="1"/>
    <w:pPr>
      <w:spacing w:after="120"/>
    </w:pPr>
  </w:style>
  <w:style w:type="paragraph" w:styleId="11">
    <w:name w:val="annotation text"/>
    <w:basedOn w:val="1"/>
    <w:link w:val="26"/>
    <w:unhideWhenUsed/>
    <w:qFormat/>
    <w:uiPriority w:val="99"/>
    <w:pPr>
      <w:jc w:val="left"/>
    </w:pPr>
  </w:style>
  <w:style w:type="paragraph" w:styleId="12">
    <w:name w:val="Balloon Text"/>
    <w:basedOn w:val="1"/>
    <w:link w:val="36"/>
    <w:semiHidden/>
    <w:unhideWhenUsed/>
    <w:qFormat/>
    <w:uiPriority w:val="99"/>
    <w:rPr>
      <w:sz w:val="18"/>
      <w:szCs w:val="18"/>
    </w:rPr>
  </w:style>
  <w:style w:type="paragraph" w:styleId="13">
    <w:name w:val="footer"/>
    <w:basedOn w:val="1"/>
    <w:link w:val="2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4">
    <w:name w:val="header"/>
    <w:basedOn w:val="1"/>
    <w:link w:val="2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5">
    <w:name w:val="toc 1"/>
    <w:basedOn w:val="1"/>
    <w:next w:val="1"/>
    <w:unhideWhenUsed/>
    <w:qFormat/>
    <w:uiPriority w:val="39"/>
    <w:pPr>
      <w:tabs>
        <w:tab w:val="right" w:leader="dot" w:pos="8714"/>
      </w:tabs>
      <w:spacing w:before="60" w:line="360" w:lineRule="auto"/>
      <w:ind w:left="200" w:leftChars="200"/>
      <w:jc w:val="left"/>
    </w:pPr>
    <w:rPr>
      <w:rFonts w:eastAsia="Helvetica" w:cs="Courier"/>
      <w:bCs/>
      <w:caps/>
      <w:sz w:val="30"/>
      <w:szCs w:val="20"/>
    </w:rPr>
  </w:style>
  <w:style w:type="paragraph" w:styleId="16">
    <w:name w:val="Subtitle"/>
    <w:basedOn w:val="1"/>
    <w:next w:val="1"/>
    <w:link w:val="29"/>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7">
    <w:name w:val="toc 2"/>
    <w:basedOn w:val="1"/>
    <w:next w:val="1"/>
    <w:unhideWhenUsed/>
    <w:qFormat/>
    <w:uiPriority w:val="39"/>
    <w:pPr>
      <w:tabs>
        <w:tab w:val="right" w:leader="dot" w:pos="8714"/>
      </w:tabs>
      <w:spacing w:line="360" w:lineRule="auto"/>
      <w:ind w:left="350" w:leftChars="350"/>
      <w:jc w:val="left"/>
    </w:pPr>
    <w:rPr>
      <w:rFonts w:eastAsia="Tms Rmn" w:cs="Courier"/>
      <w:smallCaps/>
      <w:sz w:val="30"/>
      <w:szCs w:val="20"/>
    </w:rPr>
  </w:style>
  <w:style w:type="paragraph" w:styleId="18">
    <w:name w:val="annotation subject"/>
    <w:basedOn w:val="11"/>
    <w:next w:val="11"/>
    <w:link w:val="27"/>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unhideWhenUsed/>
    <w:qFormat/>
    <w:uiPriority w:val="99"/>
    <w:rPr>
      <w:color w:val="0563C1" w:themeColor="hyperlink"/>
      <w:u w:val="single"/>
      <w14:textFill>
        <w14:solidFill>
          <w14:schemeClr w14:val="hlink"/>
        </w14:solidFill>
      </w14:textFill>
    </w:rPr>
  </w:style>
  <w:style w:type="character" w:styleId="23">
    <w:name w:val="annotation reference"/>
    <w:basedOn w:val="21"/>
    <w:unhideWhenUsed/>
    <w:qFormat/>
    <w:uiPriority w:val="99"/>
    <w:rPr>
      <w:sz w:val="21"/>
      <w:szCs w:val="21"/>
    </w:rPr>
  </w:style>
  <w:style w:type="character" w:customStyle="1" w:styleId="24">
    <w:name w:val="页眉 Char"/>
    <w:basedOn w:val="21"/>
    <w:link w:val="14"/>
    <w:qFormat/>
    <w:uiPriority w:val="99"/>
    <w:rPr>
      <w:sz w:val="18"/>
      <w:szCs w:val="18"/>
    </w:rPr>
  </w:style>
  <w:style w:type="character" w:customStyle="1" w:styleId="25">
    <w:name w:val="页脚 Char"/>
    <w:basedOn w:val="21"/>
    <w:link w:val="13"/>
    <w:qFormat/>
    <w:uiPriority w:val="99"/>
    <w:rPr>
      <w:sz w:val="18"/>
      <w:szCs w:val="18"/>
    </w:rPr>
  </w:style>
  <w:style w:type="character" w:customStyle="1" w:styleId="26">
    <w:name w:val="批注文字 Char"/>
    <w:basedOn w:val="21"/>
    <w:link w:val="11"/>
    <w:qFormat/>
    <w:uiPriority w:val="99"/>
    <w:rPr>
      <w:rFonts w:ascii="Times New Roman" w:hAnsi="Times New Roman" w:eastAsia="Courier New" w:cs="Times New Roman"/>
      <w:szCs w:val="21"/>
    </w:rPr>
  </w:style>
  <w:style w:type="character" w:customStyle="1" w:styleId="27">
    <w:name w:val="批注主题 Char"/>
    <w:basedOn w:val="26"/>
    <w:link w:val="18"/>
    <w:semiHidden/>
    <w:qFormat/>
    <w:uiPriority w:val="99"/>
    <w:rPr>
      <w:rFonts w:ascii="Times New Roman" w:hAnsi="Times New Roman" w:eastAsia="Courier New" w:cs="Times New Roman"/>
      <w:b/>
      <w:bCs/>
      <w:szCs w:val="21"/>
    </w:rPr>
  </w:style>
  <w:style w:type="paragraph" w:customStyle="1" w:styleId="28">
    <w:name w:val="独立格式"/>
    <w:basedOn w:val="16"/>
    <w:qFormat/>
    <w:uiPriority w:val="1"/>
    <w:pPr>
      <w:spacing w:before="0" w:after="0" w:line="360" w:lineRule="auto"/>
      <w:outlineLvl w:val="9"/>
    </w:pPr>
    <w:rPr>
      <w:rFonts w:ascii="Times New Roman" w:hAnsi="Times New Roman" w:eastAsia="Tms Rmn" w:cs="Times New Roman"/>
      <w:b w:val="0"/>
      <w:bCs w:val="0"/>
      <w:kern w:val="2"/>
      <w:szCs w:val="52"/>
    </w:rPr>
  </w:style>
  <w:style w:type="character" w:customStyle="1" w:styleId="29">
    <w:name w:val="副标题 Char"/>
    <w:basedOn w:val="21"/>
    <w:link w:val="16"/>
    <w:qFormat/>
    <w:uiPriority w:val="11"/>
    <w:rPr>
      <w:b/>
      <w:bCs/>
      <w:kern w:val="28"/>
      <w:sz w:val="32"/>
      <w:szCs w:val="32"/>
    </w:rPr>
  </w:style>
  <w:style w:type="character" w:customStyle="1" w:styleId="30">
    <w:name w:val="标题 2 Char"/>
    <w:basedOn w:val="21"/>
    <w:link w:val="5"/>
    <w:qFormat/>
    <w:uiPriority w:val="9"/>
    <w:rPr>
      <w:rFonts w:ascii="Arial" w:hAnsi="Arial" w:eastAsia="Symbol" w:cs="Times New Roman"/>
      <w:b/>
      <w:bCs/>
      <w:sz w:val="32"/>
      <w:szCs w:val="32"/>
    </w:rPr>
  </w:style>
  <w:style w:type="paragraph" w:customStyle="1" w:styleId="31">
    <w:name w:val="表格名称"/>
    <w:basedOn w:val="1"/>
    <w:qFormat/>
    <w:uiPriority w:val="0"/>
    <w:pPr>
      <w:spacing w:line="360" w:lineRule="auto"/>
      <w:jc w:val="center"/>
    </w:pPr>
    <w:rPr>
      <w:rFonts w:eastAsia="Helv" w:cs="New York"/>
      <w:b/>
      <w:sz w:val="24"/>
      <w:szCs w:val="24"/>
    </w:rPr>
  </w:style>
  <w:style w:type="paragraph" w:customStyle="1" w:styleId="32">
    <w:name w:val="表格文字"/>
    <w:basedOn w:val="28"/>
    <w:next w:val="1"/>
    <w:qFormat/>
    <w:uiPriority w:val="0"/>
    <w:pPr>
      <w:spacing w:line="360" w:lineRule="exact"/>
    </w:pPr>
    <w:rPr>
      <w:rFonts w:eastAsia="Helv" w:cs="New York"/>
      <w:sz w:val="24"/>
    </w:rPr>
  </w:style>
  <w:style w:type="character" w:customStyle="1" w:styleId="33">
    <w:name w:val="标题 5 Char"/>
    <w:basedOn w:val="21"/>
    <w:link w:val="8"/>
    <w:semiHidden/>
    <w:qFormat/>
    <w:uiPriority w:val="9"/>
    <w:rPr>
      <w:rFonts w:ascii="Times New Roman" w:hAnsi="Times New Roman" w:eastAsia="Courier New" w:cs="Times New Roman"/>
      <w:b/>
      <w:bCs/>
      <w:sz w:val="28"/>
      <w:szCs w:val="28"/>
    </w:rPr>
  </w:style>
  <w:style w:type="character" w:customStyle="1" w:styleId="34">
    <w:name w:val="正文文本 Char"/>
    <w:basedOn w:val="21"/>
    <w:link w:val="10"/>
    <w:semiHidden/>
    <w:qFormat/>
    <w:uiPriority w:val="99"/>
    <w:rPr>
      <w:rFonts w:ascii="Times New Roman" w:hAnsi="Times New Roman" w:eastAsia="Courier New" w:cs="Times New Roman"/>
      <w:szCs w:val="21"/>
    </w:rPr>
  </w:style>
  <w:style w:type="character" w:customStyle="1" w:styleId="35">
    <w:name w:val="标题 4 Char"/>
    <w:basedOn w:val="21"/>
    <w:link w:val="7"/>
    <w:semiHidden/>
    <w:qFormat/>
    <w:uiPriority w:val="9"/>
    <w:rPr>
      <w:rFonts w:asciiTheme="majorHAnsi" w:hAnsiTheme="majorHAnsi" w:eastAsiaTheme="majorEastAsia" w:cstheme="majorBidi"/>
      <w:b/>
      <w:bCs/>
      <w:sz w:val="28"/>
      <w:szCs w:val="28"/>
    </w:rPr>
  </w:style>
  <w:style w:type="character" w:customStyle="1" w:styleId="36">
    <w:name w:val="批注框文本 Char"/>
    <w:basedOn w:val="21"/>
    <w:link w:val="12"/>
    <w:semiHidden/>
    <w:qFormat/>
    <w:uiPriority w:val="99"/>
    <w:rPr>
      <w:rFonts w:ascii="Times New Roman" w:hAnsi="Times New Roman" w:eastAsia="Courier New" w:cs="Times New Roman"/>
      <w:kern w:val="2"/>
      <w:sz w:val="18"/>
      <w:szCs w:val="18"/>
    </w:rPr>
  </w:style>
  <w:style w:type="table" w:customStyle="1" w:styleId="37">
    <w:name w:val="Table Normal"/>
    <w:semiHidden/>
    <w:unhideWhenUsed/>
    <w:qFormat/>
    <w:uiPriority w:val="2"/>
    <w:tblPr>
      <w:tblCellMar>
        <w:top w:w="0" w:type="dxa"/>
        <w:left w:w="0" w:type="dxa"/>
        <w:bottom w:w="0" w:type="dxa"/>
        <w:right w:w="0" w:type="dxa"/>
      </w:tblCellMar>
    </w:tblPr>
  </w:style>
  <w:style w:type="paragraph" w:styleId="38">
    <w:name w:val="List Paragraph"/>
    <w:basedOn w:val="1"/>
    <w:qFormat/>
    <w:uiPriority w:val="1"/>
    <w:pPr>
      <w:autoSpaceDE w:val="0"/>
      <w:autoSpaceDN w:val="0"/>
      <w:ind w:left="109" w:right="99" w:firstLine="641"/>
      <w:jc w:val="left"/>
    </w:pPr>
    <w:rPr>
      <w:rFonts w:ascii="Arial Unicode MS" w:hAnsi="Arial Unicode MS" w:eastAsia="Arial Unicode MS" w:cs="Arial Unicode MS"/>
      <w:kern w:val="0"/>
      <w:sz w:val="22"/>
      <w:szCs w:val="22"/>
      <w:lang w:eastAsia="en-US"/>
    </w:rPr>
  </w:style>
  <w:style w:type="paragraph" w:customStyle="1" w:styleId="39">
    <w:name w:val="Table Paragraph"/>
    <w:basedOn w:val="1"/>
    <w:qFormat/>
    <w:uiPriority w:val="1"/>
    <w:pPr>
      <w:autoSpaceDE w:val="0"/>
      <w:autoSpaceDN w:val="0"/>
      <w:jc w:val="left"/>
    </w:pPr>
    <w:rPr>
      <w:rFonts w:ascii="宋体" w:hAnsi="宋体" w:eastAsia="宋体" w:cs="宋体"/>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Desktop\&#37096;&#38376;&#39044;&#31639;&#20844;&#24320;&#34920;&#65288;&#33258;&#27835;&#21306;&#26412;&#32423;&#65289;.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Desktop\&#37096;&#38376;&#39044;&#31639;&#20844;&#24320;&#34920;&#65288;&#33258;&#27835;&#21306;&#26412;&#32423;&#6528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收入预算（万元）</a:t>
            </a:r>
          </a:p>
        </c:rich>
      </c:tx>
      <c:layout/>
      <c:overlay val="0"/>
      <c:spPr>
        <a:noFill/>
        <a:ln>
          <a:noFill/>
        </a:ln>
        <a:effectLst/>
      </c:spPr>
    </c:title>
    <c:autoTitleDeleted val="0"/>
    <c:plotArea>
      <c:layout/>
      <c:pieChart>
        <c:varyColors val="1"/>
        <c:ser>
          <c:idx val="0"/>
          <c:order val="0"/>
          <c:tx>
            <c:strRef>
              <c:f>'[部门预算公开表（自治区本级）.xlsx]1收支总表'!$B$5</c:f>
              <c:strCache>
                <c:ptCount val="1"/>
                <c:pt idx="0">
                  <c:v>预算数</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Pt>
            <c:idx val="7"/>
            <c:bubble3D val="0"/>
            <c:spPr>
              <a:solidFill>
                <a:schemeClr val="accent2">
                  <a:lumMod val="60000"/>
                </a:schemeClr>
              </a:solidFill>
              <a:ln>
                <a:solidFill>
                  <a:schemeClr val="bg1"/>
                </a:solidFill>
              </a:ln>
              <a:effectLst/>
            </c:spPr>
          </c:dPt>
          <c:dPt>
            <c:idx val="8"/>
            <c:bubble3D val="0"/>
            <c:spPr>
              <a:solidFill>
                <a:schemeClr val="accent3">
                  <a:lumMod val="60000"/>
                </a:schemeClr>
              </a:solidFill>
              <a:ln>
                <a:solidFill>
                  <a:schemeClr val="bg1"/>
                </a:solidFill>
              </a:ln>
              <a:effectLst/>
            </c:spPr>
          </c:dPt>
          <c:dPt>
            <c:idx val="9"/>
            <c:bubble3D val="0"/>
            <c:spPr>
              <a:solidFill>
                <a:schemeClr val="accent4">
                  <a:lumMod val="60000"/>
                </a:schemeClr>
              </a:solidFill>
              <a:ln>
                <a:solidFill>
                  <a:schemeClr val="bg1"/>
                </a:solidFill>
              </a:ln>
              <a:effectLst/>
            </c:spPr>
          </c:dPt>
          <c:dLbls>
            <c:dLbl>
              <c:idx val="0"/>
              <c:layout>
                <c:manualLayout>
                  <c:x val="0.220052123152045"/>
                  <c:y val="0.050288986851148"/>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一般公共预算拨款收入, 8,065.61, 3%</a:t>
                    </a:r>
                  </a:p>
                </c:rich>
              </c:tx>
              <c:dLblPos val="bestFit"/>
              <c:showLegendKey val="0"/>
              <c:showVal val="1"/>
              <c:showCatName val="1"/>
              <c:showSerName val="0"/>
              <c:showPercent val="1"/>
              <c:showBubbleSize val="0"/>
              <c:extLst>
                <c:ext xmlns:c15="http://schemas.microsoft.com/office/drawing/2012/chart" uri="{CE6537A1-D6FC-4f65-9D91-7224C49458BB}">
                  <c15:layout/>
                </c:ext>
              </c:extLst>
            </c:dLbl>
            <c:dLbl>
              <c:idx val="4"/>
              <c:layout>
                <c:manualLayout>
                  <c:x val="-0.00557484106594438"/>
                  <c:y val="-0.237034842670363"/>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事业收入, 288,396.10, 94%</a:t>
                    </a:r>
                  </a:p>
                </c:rich>
              </c:tx>
              <c:dLblPos val="bestFit"/>
              <c:showLegendKey val="0"/>
              <c:showVal val="1"/>
              <c:showCatName val="1"/>
              <c:showSerName val="0"/>
              <c:showPercent val="1"/>
              <c:showBubbleSize val="0"/>
              <c:extLst>
                <c:ext xmlns:c15="http://schemas.microsoft.com/office/drawing/2012/chart" uri="{CE6537A1-D6FC-4f65-9D91-7224C49458BB}">
                  <c15:layout/>
                </c:ext>
              </c:extLst>
            </c:dLbl>
            <c:dLbl>
              <c:idx val="9"/>
              <c:layout>
                <c:manualLayout>
                  <c:x val="-0.118681405068338"/>
                  <c:y val="0.00981471107304982"/>
                </c:manualLayout>
              </c:layout>
              <c:dLblPos val="bestFit"/>
              <c:showLegendKey val="0"/>
              <c:showVal val="1"/>
              <c:showCatName val="1"/>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'[部门预算公开表（自治区本级）.xlsx]1收支总表'!$A$6:$A$39</c15:sqref>
                  </c15:fullRef>
                </c:ext>
              </c:extLst>
              <c:f>('[部门预算公开表（自治区本级）.xlsx]1收支总表'!$A$6:$A$14,'[部门预算公开表（自治区本级）.xlsx]1收支总表'!$A$38)</c:f>
              <c:strCache>
                <c:ptCount val="10"/>
                <c:pt idx="0">
                  <c:v>一、一般公共预算拨款收入</c:v>
                </c:pt>
                <c:pt idx="1">
                  <c:v>二、政府性基金预算拨款收入</c:v>
                </c:pt>
                <c:pt idx="2">
                  <c:v>三、国有资本经营预算拨款收入</c:v>
                </c:pt>
                <c:pt idx="3">
                  <c:v>四、财政专户管理资金收入</c:v>
                </c:pt>
                <c:pt idx="4">
                  <c:v>五、事业收入</c:v>
                </c:pt>
                <c:pt idx="5">
                  <c:v>六、事业单位经营收入</c:v>
                </c:pt>
                <c:pt idx="6">
                  <c:v>七、上级补助收入</c:v>
                </c:pt>
                <c:pt idx="7">
                  <c:v>八、附属单位上缴收入</c:v>
                </c:pt>
                <c:pt idx="8">
                  <c:v>九、其他收入</c:v>
                </c:pt>
                <c:pt idx="9">
                  <c:v>上年结转结余</c:v>
                </c:pt>
              </c:strCache>
            </c:strRef>
          </c:cat>
          <c:val>
            <c:numRef>
              <c:extLst>
                <c:ext xmlns:c15="http://schemas.microsoft.com/office/drawing/2012/chart" uri="{02D57815-91ED-43cb-92C2-25804820EDAC}">
                  <c15:fullRef>
                    <c15:sqref>'1收支总表'!$B$6:$B$39</c15:sqref>
                  </c15:fullRef>
                </c:ext>
              </c:extLst>
              <c:f>('[部门预算公开表（自治区本级）.xlsx]1收支总表'!$B$6:$B$14,'[部门预算公开表（自治区本级）.xlsx]1收支总表'!$B$38)</c:f>
              <c:numCache>
                <c:formatCode>#,##0.00</c:formatCode>
                <c:ptCount val="10"/>
                <c:pt idx="0">
                  <c:v>8065.61257</c:v>
                </c:pt>
                <c:pt idx="4">
                  <c:v>288396.10043</c:v>
                </c:pt>
                <c:pt idx="9">
                  <c:v>10861.652068</c:v>
                </c:pt>
              </c:numCache>
            </c:numRef>
          </c:val>
        </c:ser>
        <c:dLbls>
          <c:showLegendKey val="0"/>
          <c:showVal val="1"/>
          <c:showCatName val="1"/>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支出预算（万元）</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Lbls>
            <c:dLbl>
              <c:idx val="0"/>
              <c:layout>
                <c:manualLayout>
                  <c:x val="0.232894736842105"/>
                  <c:y val="-0.0555555555555556"/>
                </c:manualLayout>
              </c:layout>
              <c:dLblPos val="bestFit"/>
              <c:showLegendKey val="0"/>
              <c:showVal val="1"/>
              <c:showCatName val="1"/>
              <c:showSerName val="0"/>
              <c:showPercent val="1"/>
              <c:showBubbleSize val="0"/>
              <c:extLst>
                <c:ext xmlns:c15="http://schemas.microsoft.com/office/drawing/2012/chart" uri="{CE6537A1-D6FC-4f65-9D91-7224C49458BB}">
                  <c15:layout/>
                </c:ext>
              </c:extLst>
            </c:dLbl>
            <c:dLbl>
              <c:idx val="1"/>
              <c:layout>
                <c:manualLayout>
                  <c:x val="-0.192914150699402"/>
                  <c:y val="0.0582154806518145"/>
                </c:manualLayout>
              </c:layout>
              <c:dLblPos val="bestFit"/>
              <c:showLegendKey val="0"/>
              <c:showVal val="1"/>
              <c:showCatName val="1"/>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'[部门预算公开表（自治区本级）.xlsx]3支出总表'!$D$4:$H$4</c:f>
              <c:strCache>
                <c:ptCount val="5"/>
                <c:pt idx="0">
                  <c:v>基本支出</c:v>
                </c:pt>
                <c:pt idx="1">
                  <c:v>项目支出</c:v>
                </c:pt>
                <c:pt idx="2">
                  <c:v>事业单位经营支出</c:v>
                </c:pt>
                <c:pt idx="3">
                  <c:v>上缴上级支出</c:v>
                </c:pt>
                <c:pt idx="4">
                  <c:v>对附属单位补助支出</c:v>
                </c:pt>
              </c:strCache>
            </c:strRef>
          </c:cat>
          <c:val>
            <c:numRef>
              <c:f>'[部门预算公开表（自治区本级）.xlsx]3支出总表'!$D$45:$H$45</c:f>
              <c:numCache>
                <c:formatCode>#,##0.00</c:formatCode>
                <c:ptCount val="5"/>
                <c:pt idx="0">
                  <c:v>294773.713</c:v>
                </c:pt>
                <c:pt idx="1">
                  <c:v>12549.652068</c:v>
                </c:pt>
              </c:numCache>
            </c:numRef>
          </c:val>
        </c:ser>
        <c:dLbls>
          <c:showLegendKey val="0"/>
          <c:showVal val="1"/>
          <c:showCatName val="1"/>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29E26-31F3-4BA1-BD0C-4D6E10719482}">
  <ds:schemaRefs/>
</ds:datastoreItem>
</file>

<file path=docProps/app.xml><?xml version="1.0" encoding="utf-8"?>
<Properties xmlns="http://schemas.openxmlformats.org/officeDocument/2006/extended-properties" xmlns:vt="http://schemas.openxmlformats.org/officeDocument/2006/docPropsVTypes">
  <Template>Normal.dotm</Template>
  <Pages>73</Pages>
  <Words>25340</Words>
  <Characters>26472</Characters>
  <Lines>246</Lines>
  <Paragraphs>69</Paragraphs>
  <TotalTime>10</TotalTime>
  <ScaleCrop>false</ScaleCrop>
  <LinksUpToDate>false</LinksUpToDate>
  <CharactersWithSpaces>29525</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2021-11-01T08:43:00Z</dcterms:created>
  <dc:creator>Richard Meng</dc:creator>
  <cp:lastModifiedBy>Ad'min</cp:lastModifiedBy>
  <cp:lastPrinted>2024-04-26T07:25:00Z</cp:lastPrinted>
  <dcterms:modified xsi:type="dcterms:W3CDTF">2024-04-28T00:16:49Z</dcterms:modified>
  <cp:revision>1199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3AEE72BD4E9F4795ADA0542A6A53B24C</vt:lpwstr>
  </property>
</Properties>
</file>