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keepNext w:val="0"/>
        <w:keepLines w:val="0"/>
        <w:pageBreakBefore w:val="0"/>
        <w:kinsoku/>
        <w:wordWrap/>
        <w:overflowPunct/>
        <w:topLinePunct w:val="0"/>
        <w:autoSpaceDE/>
        <w:autoSpaceDN/>
        <w:bidi w:val="0"/>
        <w:spacing w:line="560" w:lineRule="atLeast"/>
        <w:jc w:val="center"/>
        <w:rPr>
          <w:rFonts w:hint="default" w:ascii="宋体" w:hAnsi="宋体" w:eastAsia="宋体"/>
          <w:b/>
          <w:bCs/>
          <w:sz w:val="48"/>
          <w:szCs w:val="48"/>
          <w:lang w:val="en-US" w:eastAsia="zh-CN"/>
        </w:rPr>
      </w:pPr>
      <w:r>
        <w:rPr>
          <w:rFonts w:ascii="宋体" w:hAnsi="宋体"/>
          <w:b/>
          <w:bCs/>
          <w:sz w:val="48"/>
          <w:szCs w:val="48"/>
        </w:rPr>
        <w:t>2023</w:t>
      </w:r>
      <w:r>
        <w:rPr>
          <w:rFonts w:hint="eastAsia" w:ascii="宋体" w:hAnsi="宋体"/>
          <w:b/>
          <w:bCs/>
          <w:sz w:val="48"/>
          <w:szCs w:val="48"/>
        </w:rPr>
        <w:t>年度内蒙古自治区老龄工作委员会办公室</w:t>
      </w:r>
      <w:r>
        <w:rPr>
          <w:rFonts w:hint="eastAsia" w:ascii="宋体" w:hAnsi="宋体"/>
          <w:b/>
          <w:bCs/>
          <w:sz w:val="48"/>
          <w:szCs w:val="48"/>
          <w:lang w:val="en-US" w:eastAsia="zh-CN"/>
        </w:rPr>
        <w:t>单位决算公开</w:t>
      </w: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jc w:val="center"/>
        <w:rPr>
          <w:rFonts w:ascii="宋体" w:hAnsi="宋体"/>
          <w:b/>
          <w:bCs/>
          <w:sz w:val="52"/>
          <w:szCs w:val="52"/>
        </w:rPr>
      </w:pPr>
    </w:p>
    <w:p>
      <w:pPr>
        <w:keepNext w:val="0"/>
        <w:keepLines w:val="0"/>
        <w:pageBreakBefore w:val="0"/>
        <w:kinsoku/>
        <w:wordWrap/>
        <w:overflowPunct/>
        <w:topLinePunct w:val="0"/>
        <w:autoSpaceDE/>
        <w:autoSpaceDN/>
        <w:bidi w:val="0"/>
        <w:spacing w:line="560" w:lineRule="atLeast"/>
        <w:ind w:firstLine="1960" w:firstLineChars="700"/>
        <w:jc w:val="left"/>
        <w:rPr>
          <w:rFonts w:ascii="宋体" w:hAnsi="宋体"/>
          <w:sz w:val="28"/>
          <w:szCs w:val="28"/>
        </w:rPr>
      </w:pPr>
      <w:r>
        <w:rPr>
          <w:rFonts w:hint="eastAsia" w:ascii="宋体" w:hAnsi="宋体"/>
          <w:sz w:val="28"/>
          <w:szCs w:val="28"/>
        </w:rPr>
        <w:t>部门（单位）名称：内蒙古自治区老龄工作委员会办公室</w:t>
      </w:r>
    </w:p>
    <w:p>
      <w:pPr>
        <w:keepNext w:val="0"/>
        <w:keepLines w:val="0"/>
        <w:pageBreakBefore w:val="0"/>
        <w:kinsoku/>
        <w:wordWrap/>
        <w:overflowPunct/>
        <w:topLinePunct w:val="0"/>
        <w:autoSpaceDE/>
        <w:autoSpaceDN/>
        <w:bidi w:val="0"/>
        <w:spacing w:line="560" w:lineRule="atLeast"/>
        <w:ind w:firstLine="1960" w:firstLineChars="700"/>
        <w:jc w:val="left"/>
        <w:rPr>
          <w:rFonts w:ascii="宋体" w:hAnsi="宋体"/>
          <w:sz w:val="28"/>
          <w:szCs w:val="28"/>
        </w:rPr>
      </w:pPr>
      <w:r>
        <w:rPr>
          <w:rFonts w:hint="eastAsia" w:ascii="宋体" w:hAnsi="宋体"/>
          <w:sz w:val="28"/>
          <w:szCs w:val="28"/>
        </w:rPr>
        <w:t>单位负责人：张红梅</w:t>
      </w:r>
    </w:p>
    <w:p>
      <w:pPr>
        <w:keepNext w:val="0"/>
        <w:keepLines w:val="0"/>
        <w:pageBreakBefore w:val="0"/>
        <w:kinsoku/>
        <w:wordWrap/>
        <w:overflowPunct/>
        <w:topLinePunct w:val="0"/>
        <w:autoSpaceDE/>
        <w:autoSpaceDN/>
        <w:bidi w:val="0"/>
        <w:spacing w:line="560" w:lineRule="atLeast"/>
        <w:ind w:firstLine="1960" w:firstLineChars="700"/>
        <w:jc w:val="left"/>
        <w:rPr>
          <w:rFonts w:hint="eastAsia" w:ascii="宋体" w:hAnsi="宋体" w:eastAsia="宋体"/>
          <w:sz w:val="28"/>
          <w:szCs w:val="28"/>
          <w:lang w:eastAsia="zh-CN"/>
        </w:rPr>
      </w:pPr>
      <w:r>
        <w:rPr>
          <w:rFonts w:hint="eastAsia" w:ascii="宋体" w:hAnsi="宋体"/>
          <w:sz w:val="28"/>
          <w:szCs w:val="28"/>
        </w:rPr>
        <w:t>编制人：</w:t>
      </w:r>
      <w:r>
        <w:rPr>
          <w:rFonts w:hint="eastAsia" w:ascii="宋体" w:hAnsi="宋体"/>
          <w:sz w:val="28"/>
          <w:szCs w:val="28"/>
          <w:lang w:eastAsia="zh-CN"/>
        </w:rPr>
        <w:t>武喜萍</w:t>
      </w:r>
    </w:p>
    <w:p>
      <w:pPr>
        <w:keepNext w:val="0"/>
        <w:keepLines w:val="0"/>
        <w:pageBreakBefore w:val="0"/>
        <w:kinsoku/>
        <w:wordWrap/>
        <w:overflowPunct/>
        <w:topLinePunct w:val="0"/>
        <w:autoSpaceDE/>
        <w:autoSpaceDN/>
        <w:bidi w:val="0"/>
        <w:spacing w:line="560" w:lineRule="atLeast"/>
        <w:ind w:firstLine="1960" w:firstLineChars="700"/>
        <w:jc w:val="left"/>
        <w:rPr>
          <w:rFonts w:ascii="仿宋" w:hAnsi="仿宋" w:eastAsia="仿宋"/>
          <w:b/>
          <w:sz w:val="32"/>
          <w:szCs w:val="32"/>
        </w:rPr>
        <w:sectPr>
          <w:footerReference r:id="rId3" w:type="default"/>
          <w:pgSz w:w="11906" w:h="16838"/>
          <w:pgMar w:top="2098" w:right="1417" w:bottom="1984" w:left="1587" w:header="0" w:footer="720" w:gutter="0"/>
          <w:cols w:space="425" w:num="1"/>
          <w:docGrid w:type="lines" w:linePitch="312" w:charSpace="0"/>
        </w:sectPr>
      </w:pPr>
      <w:r>
        <w:rPr>
          <w:rFonts w:hint="eastAsia" w:ascii="宋体" w:hAnsi="宋体"/>
          <w:sz w:val="28"/>
          <w:szCs w:val="28"/>
        </w:rPr>
        <w:t>报送日期：</w:t>
      </w:r>
      <w:r>
        <w:rPr>
          <w:rFonts w:ascii="宋体" w:hAnsi="宋体"/>
          <w:sz w:val="28"/>
          <w:szCs w:val="28"/>
        </w:rPr>
        <w:t>2024</w:t>
      </w:r>
      <w:r>
        <w:rPr>
          <w:rFonts w:hint="eastAsia" w:ascii="宋体" w:hAnsi="宋体"/>
          <w:sz w:val="28"/>
          <w:szCs w:val="28"/>
        </w:rPr>
        <w:t>年</w:t>
      </w:r>
      <w:r>
        <w:rPr>
          <w:rFonts w:hint="eastAsia" w:ascii="宋体" w:hAnsi="宋体"/>
          <w:sz w:val="28"/>
          <w:szCs w:val="28"/>
          <w:lang w:val="en-US" w:eastAsia="zh-CN"/>
        </w:rPr>
        <w:t>8</w:t>
      </w:r>
      <w:r>
        <w:rPr>
          <w:rFonts w:hint="eastAsia" w:ascii="宋体" w:hAnsi="宋体"/>
          <w:sz w:val="28"/>
          <w:szCs w:val="28"/>
        </w:rPr>
        <w:t>月</w:t>
      </w:r>
    </w:p>
    <w:p>
      <w:pPr>
        <w:keepNext w:val="0"/>
        <w:keepLines w:val="0"/>
        <w:pageBreakBefore w:val="0"/>
        <w:kinsoku/>
        <w:wordWrap/>
        <w:overflowPunct/>
        <w:topLinePunct w:val="0"/>
        <w:autoSpaceDE/>
        <w:autoSpaceDN/>
        <w:bidi w:val="0"/>
        <w:adjustRightInd w:val="0"/>
        <w:snapToGrid w:val="0"/>
        <w:spacing w:line="560" w:lineRule="atLeast"/>
        <w:rPr>
          <w:rFonts w:ascii="宋体" w:hAnsi="宋体"/>
          <w:b/>
          <w:sz w:val="32"/>
          <w:szCs w:val="32"/>
        </w:rPr>
      </w:pPr>
    </w:p>
    <w:p>
      <w:pPr>
        <w:keepNext w:val="0"/>
        <w:keepLines w:val="0"/>
        <w:pageBreakBefore w:val="0"/>
        <w:widowControl/>
        <w:kinsoku/>
        <w:wordWrap/>
        <w:overflowPunct/>
        <w:topLinePunct w:val="0"/>
        <w:autoSpaceDE/>
        <w:autoSpaceDN/>
        <w:bidi w:val="0"/>
        <w:spacing w:after="240" w:line="560" w:lineRule="atLeast"/>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黑体" w:hAnsi="黑体" w:eastAsia="黑体" w:cs="黑体"/>
          <w:kern w:val="0"/>
          <w:sz w:val="27"/>
          <w:szCs w:val="27"/>
        </w:rPr>
        <w:t>第一部分 单位概况</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二、单位机构设置及决算单位构成情况</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年度单位主要工作完成情况</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黑体" w:hAnsi="黑体" w:eastAsia="黑体" w:cs="黑体"/>
          <w:kern w:val="0"/>
          <w:sz w:val="27"/>
          <w:szCs w:val="27"/>
        </w:rPr>
        <w:t>第二部分 单位决算情况说明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黑体" w:hAnsi="黑体" w:eastAsia="黑体" w:cs="黑体"/>
          <w:kern w:val="0"/>
          <w:sz w:val="27"/>
          <w:szCs w:val="27"/>
        </w:rPr>
        <w:t>第五部分 单位决算表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pPr>
        <w:keepNext w:val="0"/>
        <w:keepLines w:val="0"/>
        <w:pageBreakBefore w:val="0"/>
        <w:widowControl/>
        <w:kinsoku/>
        <w:wordWrap/>
        <w:overflowPunct/>
        <w:topLinePunct w:val="0"/>
        <w:autoSpaceDE/>
        <w:autoSpaceDN/>
        <w:bidi w:val="0"/>
        <w:spacing w:before="240" w:after="240" w:line="560" w:lineRule="atLeast"/>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center"/>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spacing w:before="240" w:after="240" w:line="560" w:lineRule="atLeast"/>
        <w:jc w:val="center"/>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spacing w:before="240" w:after="240" w:line="560" w:lineRule="atLeast"/>
        <w:jc w:val="center"/>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spacing w:before="240" w:after="240" w:line="560" w:lineRule="atLeast"/>
        <w:jc w:val="center"/>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spacing w:before="240" w:after="240" w:line="560" w:lineRule="atLeast"/>
        <w:jc w:val="center"/>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spacing w:before="240" w:after="240" w:line="560" w:lineRule="atLeast"/>
        <w:jc w:val="both"/>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spacing w:before="240" w:after="240" w:line="560" w:lineRule="atLeast"/>
        <w:jc w:val="center"/>
        <w:rPr>
          <w:rFonts w:ascii="Times New Roman" w:hAnsi="Times New Roman" w:eastAsia="Times New Roman" w:cs="Times New Roman"/>
          <w:kern w:val="0"/>
          <w:sz w:val="24"/>
          <w:highlight w:val="none"/>
        </w:rPr>
      </w:pPr>
      <w:r>
        <w:rPr>
          <w:rFonts w:ascii="fang_zheng_xiao_biao_song_ti" w:hAnsi="fang_zheng_xiao_biao_song_ti" w:eastAsia="fang_zheng_xiao_biao_song_ti" w:cs="fang_zheng_xiao_biao_song_ti"/>
          <w:b/>
          <w:bCs/>
          <w:color w:val="000000"/>
          <w:kern w:val="0"/>
          <w:sz w:val="36"/>
          <w:szCs w:val="36"/>
          <w:highlight w:val="none"/>
        </w:rPr>
        <w:t>第一部分 单位概况</w:t>
      </w:r>
    </w:p>
    <w:p>
      <w:pPr>
        <w:keepNext w:val="0"/>
        <w:keepLines w:val="0"/>
        <w:pageBreakBefore w:val="0"/>
        <w:widowControl/>
        <w:kinsoku/>
        <w:wordWrap/>
        <w:overflowPunct/>
        <w:topLinePunct w:val="0"/>
        <w:autoSpaceDE/>
        <w:autoSpaceDN/>
        <w:bidi w:val="0"/>
        <w:adjustRightInd/>
        <w:snapToGrid/>
        <w:spacing w:before="240" w:after="240" w:line="560" w:lineRule="atLeast"/>
        <w:jc w:val="left"/>
        <w:textAlignment w:val="auto"/>
        <w:rPr>
          <w:rFonts w:hint="eastAsia" w:ascii="黑体" w:hAnsi="黑体" w:eastAsia="黑体" w:cs="黑体"/>
          <w:kern w:val="0"/>
          <w:sz w:val="32"/>
          <w:szCs w:val="32"/>
          <w:highlight w:val="none"/>
        </w:rPr>
      </w:pPr>
      <w:r>
        <w:rPr>
          <w:rFonts w:ascii="Calibri" w:hAnsi="Calibri" w:eastAsia="Calibri" w:cs="Calibri"/>
          <w:b/>
          <w:bCs/>
          <w:kern w:val="0"/>
          <w:sz w:val="27"/>
          <w:szCs w:val="27"/>
          <w:highlight w:val="none"/>
        </w:rPr>
        <w:t> </w:t>
      </w:r>
      <w:r>
        <w:rPr>
          <w:rFonts w:ascii="黑体" w:hAnsi="黑体" w:eastAsia="黑体" w:cs="黑体"/>
          <w:b/>
          <w:bCs/>
          <w:kern w:val="0"/>
          <w:sz w:val="27"/>
          <w:szCs w:val="27"/>
          <w:highlight w:val="none"/>
        </w:rPr>
        <w:t xml:space="preserve"> </w:t>
      </w:r>
      <w:r>
        <w:rPr>
          <w:rFonts w:hint="eastAsia" w:ascii="黑体" w:hAnsi="黑体" w:eastAsia="黑体" w:cs="黑体"/>
          <w:b/>
          <w:bCs/>
          <w:kern w:val="0"/>
          <w:sz w:val="32"/>
          <w:szCs w:val="32"/>
          <w:highlight w:val="none"/>
        </w:rPr>
        <w:t>  一、主要职能、职责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60" w:lineRule="atLeast"/>
        <w:ind w:firstLine="640"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（1）宣传贯彻落实党和国家有关老年法规和《内蒙古自治区老年人权益保障条例》，维护老年人合法权益。</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60" w:lineRule="atLeast"/>
        <w:ind w:firstLine="640"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（2）研究人口老龄化的现状和发展趋势。</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（3）推动支持基层老龄事业发展。</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highlight w:val="none"/>
        </w:rPr>
      </w:pPr>
      <w:r>
        <w:rPr>
          <w:rFonts w:ascii="Calibri" w:hAnsi="Calibri" w:eastAsia="Calibri" w:cs="Calibri"/>
          <w:b/>
          <w:bCs/>
          <w:kern w:val="0"/>
          <w:sz w:val="27"/>
          <w:szCs w:val="27"/>
          <w:highlight w:val="none"/>
        </w:rPr>
        <w:t> </w:t>
      </w:r>
      <w:r>
        <w:rPr>
          <w:rFonts w:ascii="黑体" w:hAnsi="黑体" w:eastAsia="黑体" w:cs="黑体"/>
          <w:b/>
          <w:bCs/>
          <w:kern w:val="0"/>
          <w:sz w:val="27"/>
          <w:szCs w:val="27"/>
          <w:highlight w:val="none"/>
        </w:rPr>
        <w:t xml:space="preserve"> </w:t>
      </w:r>
      <w:r>
        <w:rPr>
          <w:rFonts w:ascii="Calibri" w:hAnsi="Calibri" w:eastAsia="Calibri" w:cs="Calibri"/>
          <w:b/>
          <w:bCs/>
          <w:kern w:val="0"/>
          <w:sz w:val="27"/>
          <w:szCs w:val="27"/>
          <w:highlight w:val="none"/>
        </w:rPr>
        <w:t> </w:t>
      </w:r>
      <w:r>
        <w:rPr>
          <w:rFonts w:hint="eastAsia" w:ascii="黑体" w:hAnsi="黑体" w:eastAsia="黑体" w:cs="黑体"/>
          <w:b/>
          <w:bCs/>
          <w:kern w:val="0"/>
          <w:sz w:val="32"/>
          <w:szCs w:val="32"/>
          <w:highlight w:val="none"/>
        </w:rPr>
        <w:t xml:space="preserve"> 二、单位机构设置及决算单位构成情况</w:t>
      </w:r>
    </w:p>
    <w:p>
      <w:pPr>
        <w:keepNext w:val="0"/>
        <w:keepLines w:val="0"/>
        <w:pageBreakBefore w:val="0"/>
        <w:kinsoku/>
        <w:wordWrap/>
        <w:overflowPunct/>
        <w:topLinePunct w:val="0"/>
        <w:autoSpaceDE/>
        <w:autoSpaceDN/>
        <w:bidi w:val="0"/>
        <w:adjustRightInd/>
        <w:snapToGrid/>
        <w:spacing w:before="0" w:beforeAutospacing="1" w:after="0" w:afterAutospacing="1" w:line="560" w:lineRule="atLeast"/>
        <w:ind w:firstLine="640" w:firstLineChars="200"/>
        <w:jc w:val="both"/>
        <w:textAlignment w:val="auto"/>
        <w:rPr>
          <w:rFonts w:hint="eastAsia" w:ascii="仿宋" w:hAnsi="仿宋" w:eastAsia="仿宋" w:cs="仿宋"/>
          <w:color w:val="0000FF"/>
          <w:sz w:val="32"/>
          <w:szCs w:val="32"/>
          <w:lang w:val="en-US"/>
        </w:rPr>
      </w:pPr>
      <w:r>
        <w:rPr>
          <w:rFonts w:hint="eastAsia" w:ascii="仿宋" w:hAnsi="仿宋" w:eastAsia="仿宋" w:cs="仿宋"/>
          <w:sz w:val="32"/>
          <w:szCs w:val="32"/>
          <w:lang w:val="en-US"/>
        </w:rPr>
        <w:t>1.</w:t>
      </w:r>
      <w:r>
        <w:rPr>
          <w:rFonts w:hint="eastAsia" w:ascii="仿宋" w:hAnsi="仿宋" w:eastAsia="仿宋" w:cs="仿宋"/>
          <w:sz w:val="32"/>
          <w:szCs w:val="32"/>
          <w:lang w:eastAsia="zh-CN"/>
        </w:rPr>
        <w:t>根据单位职责分工，本单位内设机构包括综合科、老龄科。本单位无下属单位。</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sz w:val="32"/>
          <w:szCs w:val="32"/>
          <w:lang w:val="en-US"/>
        </w:rPr>
        <w:t>2.</w:t>
      </w:r>
      <w:r>
        <w:rPr>
          <w:rFonts w:hint="eastAsia" w:ascii="仿宋" w:hAnsi="仿宋" w:eastAsia="仿宋" w:cs="仿宋"/>
          <w:sz w:val="32"/>
          <w:szCs w:val="32"/>
          <w:lang w:eastAsia="zh-CN"/>
        </w:rPr>
        <w:t>从决算单位构成看，纳入本部门</w:t>
      </w:r>
      <w:r>
        <w:rPr>
          <w:rFonts w:hint="eastAsia" w:ascii="仿宋" w:hAnsi="仿宋" w:eastAsia="仿宋" w:cs="仿宋"/>
          <w:sz w:val="32"/>
          <w:szCs w:val="32"/>
          <w:lang w:val="en-US"/>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年部门汇总决算编制范围的预算单位共计</w:t>
      </w:r>
      <w:r>
        <w:rPr>
          <w:rFonts w:hint="eastAsia" w:ascii="仿宋" w:hAnsi="仿宋" w:eastAsia="仿宋" w:cs="仿宋"/>
          <w:sz w:val="32"/>
          <w:szCs w:val="32"/>
          <w:lang w:val="en-US"/>
        </w:rPr>
        <w:t>1</w:t>
      </w:r>
      <w:r>
        <w:rPr>
          <w:rFonts w:hint="eastAsia" w:ascii="仿宋" w:hAnsi="仿宋" w:eastAsia="仿宋" w:cs="仿宋"/>
          <w:sz w:val="32"/>
          <w:szCs w:val="32"/>
          <w:lang w:eastAsia="zh-CN"/>
        </w:rPr>
        <w:t>家，具体包括：内蒙古自治区老龄工作委员会办公室。详细情况见表：</w:t>
      </w:r>
    </w:p>
    <w:tbl>
      <w:tblPr>
        <w:tblStyle w:val="18"/>
        <w:tblW w:w="351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16"/>
        <w:gridCol w:w="2901"/>
        <w:gridCol w:w="287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1" w:type="pct"/>
            <w:tcBorders>
              <w:bottom w:val="inset" w:color="808080" w:sz="6" w:space="0"/>
              <w:right w:val="inset" w:color="808080" w:sz="6" w:space="0"/>
            </w:tcBorders>
            <w:noWrap w:val="0"/>
            <w:tcMar>
              <w:top w:w="22" w:type="dxa"/>
              <w:left w:w="22" w:type="dxa"/>
              <w:bottom w:w="22" w:type="dxa"/>
              <w:right w:w="22" w:type="dxa"/>
            </w:tcMar>
            <w:vAlign w:val="center"/>
          </w:tcPr>
          <w:p>
            <w:pPr>
              <w:keepNext w:val="0"/>
              <w:keepLines w:val="0"/>
              <w:pageBreakBefore w:val="0"/>
              <w:widowControl/>
              <w:kinsoku/>
              <w:wordWrap/>
              <w:overflowPunct/>
              <w:topLinePunct w:val="0"/>
              <w:autoSpaceDE/>
              <w:autoSpaceDN/>
              <w:bidi w:val="0"/>
              <w:spacing w:line="560" w:lineRule="atLeast"/>
              <w:jc w:val="center"/>
              <w:rPr>
                <w:rFonts w:hint="eastAsia" w:ascii="仿宋" w:hAnsi="仿宋" w:eastAsia="仿宋" w:cs="仿宋"/>
                <w:b w:val="0"/>
                <w:bCs w:val="0"/>
                <w:i w:val="0"/>
                <w:iCs w:val="0"/>
                <w:smallCaps w:val="0"/>
                <w:color w:val="000000"/>
                <w:kern w:val="0"/>
                <w:sz w:val="32"/>
                <w:szCs w:val="32"/>
              </w:rPr>
            </w:pPr>
            <w:r>
              <w:rPr>
                <w:rFonts w:hint="eastAsia" w:ascii="仿宋" w:hAnsi="仿宋" w:eastAsia="仿宋" w:cs="仿宋"/>
                <w:b w:val="0"/>
                <w:bCs w:val="0"/>
                <w:i w:val="0"/>
                <w:iCs w:val="0"/>
                <w:smallCaps w:val="0"/>
                <w:color w:val="000000"/>
                <w:kern w:val="0"/>
                <w:sz w:val="32"/>
                <w:szCs w:val="32"/>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keepNext w:val="0"/>
              <w:keepLines w:val="0"/>
              <w:pageBreakBefore w:val="0"/>
              <w:widowControl/>
              <w:kinsoku/>
              <w:wordWrap/>
              <w:overflowPunct/>
              <w:topLinePunct w:val="0"/>
              <w:autoSpaceDE/>
              <w:autoSpaceDN/>
              <w:bidi w:val="0"/>
              <w:spacing w:line="560" w:lineRule="atLeast"/>
              <w:jc w:val="center"/>
              <w:rPr>
                <w:rFonts w:hint="eastAsia" w:ascii="仿宋" w:hAnsi="仿宋" w:eastAsia="仿宋" w:cs="仿宋"/>
                <w:b w:val="0"/>
                <w:bCs w:val="0"/>
                <w:i w:val="0"/>
                <w:iCs w:val="0"/>
                <w:smallCaps w:val="0"/>
                <w:color w:val="000000"/>
                <w:kern w:val="0"/>
                <w:sz w:val="32"/>
                <w:szCs w:val="32"/>
              </w:rPr>
            </w:pPr>
            <w:r>
              <w:rPr>
                <w:rFonts w:hint="eastAsia" w:ascii="仿宋" w:hAnsi="仿宋" w:eastAsia="仿宋" w:cs="仿宋"/>
                <w:b w:val="0"/>
                <w:bCs w:val="0"/>
                <w:i w:val="0"/>
                <w:iCs w:val="0"/>
                <w:smallCaps w:val="0"/>
                <w:color w:val="000000"/>
                <w:kern w:val="0"/>
                <w:sz w:val="32"/>
                <w:szCs w:val="32"/>
              </w:rPr>
              <w:t>单位名称</w:t>
            </w:r>
          </w:p>
        </w:tc>
        <w:tc>
          <w:tcPr>
            <w:tcW w:w="2282" w:type="pct"/>
            <w:tcBorders>
              <w:left w:val="inset" w:color="808080" w:sz="6" w:space="0"/>
              <w:bottom w:val="inset" w:color="808080" w:sz="6" w:space="0"/>
            </w:tcBorders>
            <w:noWrap w:val="0"/>
            <w:tcMar>
              <w:top w:w="22" w:type="dxa"/>
              <w:left w:w="22" w:type="dxa"/>
              <w:bottom w:w="22" w:type="dxa"/>
              <w:right w:w="22" w:type="dxa"/>
            </w:tcMar>
            <w:vAlign w:val="center"/>
          </w:tcPr>
          <w:p>
            <w:pPr>
              <w:keepNext w:val="0"/>
              <w:keepLines w:val="0"/>
              <w:pageBreakBefore w:val="0"/>
              <w:widowControl/>
              <w:kinsoku/>
              <w:wordWrap/>
              <w:overflowPunct/>
              <w:topLinePunct w:val="0"/>
              <w:autoSpaceDE/>
              <w:autoSpaceDN/>
              <w:bidi w:val="0"/>
              <w:spacing w:line="560" w:lineRule="atLeast"/>
              <w:jc w:val="center"/>
              <w:rPr>
                <w:rFonts w:hint="eastAsia" w:ascii="仿宋" w:hAnsi="仿宋" w:eastAsia="仿宋" w:cs="仿宋"/>
                <w:b w:val="0"/>
                <w:bCs w:val="0"/>
                <w:i w:val="0"/>
                <w:iCs w:val="0"/>
                <w:smallCaps w:val="0"/>
                <w:color w:val="000000"/>
                <w:kern w:val="0"/>
                <w:sz w:val="32"/>
                <w:szCs w:val="32"/>
              </w:rPr>
            </w:pPr>
            <w:r>
              <w:rPr>
                <w:rFonts w:hint="eastAsia" w:ascii="仿宋" w:hAnsi="仿宋" w:eastAsia="仿宋" w:cs="仿宋"/>
                <w:b w:val="0"/>
                <w:bCs w:val="0"/>
                <w:i w:val="0"/>
                <w:iCs w:val="0"/>
                <w:smallCaps w:val="0"/>
                <w:color w:val="000000"/>
                <w:kern w:val="0"/>
                <w:sz w:val="32"/>
                <w:szCs w:val="32"/>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pPr>
              <w:keepNext w:val="0"/>
              <w:keepLines w:val="0"/>
              <w:pageBreakBefore w:val="0"/>
              <w:widowControl/>
              <w:kinsoku/>
              <w:wordWrap/>
              <w:overflowPunct/>
              <w:topLinePunct w:val="0"/>
              <w:autoSpaceDE/>
              <w:autoSpaceDN/>
              <w:bidi w:val="0"/>
              <w:spacing w:line="560" w:lineRule="atLeast"/>
              <w:jc w:val="center"/>
              <w:rPr>
                <w:rFonts w:hint="eastAsia" w:ascii="仿宋" w:hAnsi="仿宋" w:eastAsia="仿宋" w:cs="仿宋"/>
                <w:b w:val="0"/>
                <w:bCs w:val="0"/>
                <w:i w:val="0"/>
                <w:iCs w:val="0"/>
                <w:smallCaps w:val="0"/>
                <w:color w:val="000000"/>
                <w:kern w:val="0"/>
                <w:sz w:val="32"/>
                <w:szCs w:val="32"/>
                <w:lang w:eastAsia="zh-CN"/>
              </w:rPr>
            </w:pPr>
            <w:r>
              <w:rPr>
                <w:rFonts w:hint="eastAsia" w:ascii="仿宋" w:hAnsi="仿宋" w:eastAsia="仿宋" w:cs="仿宋"/>
                <w:color w:val="000000"/>
                <w:sz w:val="32"/>
                <w:szCs w:val="32"/>
                <w:lang w:val="en-US"/>
              </w:rPr>
              <w:t>1</w:t>
            </w: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keepNext w:val="0"/>
              <w:keepLines w:val="0"/>
              <w:pageBreakBefore w:val="0"/>
              <w:widowControl/>
              <w:kinsoku/>
              <w:wordWrap/>
              <w:overflowPunct/>
              <w:topLinePunct w:val="0"/>
              <w:autoSpaceDE/>
              <w:autoSpaceDN/>
              <w:bidi w:val="0"/>
              <w:spacing w:line="560" w:lineRule="atLeast"/>
              <w:jc w:val="left"/>
              <w:rPr>
                <w:rFonts w:hint="eastAsia" w:ascii="仿宋" w:hAnsi="仿宋" w:eastAsia="仿宋" w:cs="仿宋"/>
                <w:b w:val="0"/>
                <w:bCs w:val="0"/>
                <w:i w:val="0"/>
                <w:iCs w:val="0"/>
                <w:smallCaps w:val="0"/>
                <w:color w:val="000000"/>
                <w:kern w:val="0"/>
                <w:sz w:val="32"/>
                <w:szCs w:val="32"/>
              </w:rPr>
            </w:pPr>
            <w:r>
              <w:rPr>
                <w:rFonts w:hint="eastAsia" w:ascii="仿宋" w:hAnsi="仿宋" w:eastAsia="仿宋" w:cs="仿宋"/>
                <w:sz w:val="32"/>
                <w:szCs w:val="32"/>
              </w:rPr>
              <w:t>内蒙古自治区老龄工作委员会办公室</w:t>
            </w:r>
          </w:p>
        </w:tc>
        <w:tc>
          <w:tcPr>
            <w:tcW w:w="2282"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pPr>
              <w:keepNext w:val="0"/>
              <w:keepLines w:val="0"/>
              <w:pageBreakBefore w:val="0"/>
              <w:widowControl/>
              <w:kinsoku/>
              <w:wordWrap/>
              <w:overflowPunct/>
              <w:topLinePunct w:val="0"/>
              <w:autoSpaceDE/>
              <w:autoSpaceDN/>
              <w:bidi w:val="0"/>
              <w:spacing w:line="560" w:lineRule="atLeast"/>
              <w:jc w:val="left"/>
              <w:rPr>
                <w:rFonts w:hint="eastAsia" w:ascii="仿宋" w:hAnsi="仿宋" w:eastAsia="仿宋" w:cs="仿宋"/>
                <w:b w:val="0"/>
                <w:bCs w:val="0"/>
                <w:i w:val="0"/>
                <w:iCs w:val="0"/>
                <w:smallCaps w:val="0"/>
                <w:color w:val="000000"/>
                <w:kern w:val="0"/>
                <w:sz w:val="32"/>
                <w:szCs w:val="32"/>
              </w:rPr>
            </w:pPr>
            <w:r>
              <w:rPr>
                <w:rFonts w:hint="eastAsia" w:ascii="仿宋" w:hAnsi="仿宋" w:eastAsia="仿宋" w:cs="仿宋"/>
                <w:color w:val="000000"/>
                <w:sz w:val="32"/>
                <w:szCs w:val="32"/>
              </w:rPr>
              <w:t>参照公务员法管理的事业单位</w:t>
            </w:r>
          </w:p>
        </w:tc>
      </w:tr>
    </w:tbl>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三、2023年度单位主要工作完成情况</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积极开展了预防养老诈骗宣传活动，广泛获得好评。组织开展了全国示范性老年友好型社区创建活动。完成了全区的“敬老月”活动。“智慧助老”活动持续深入，全区范围内多次开展相关活动。加大宣传力度，贯彻一法一条例的宣传。</w:t>
      </w:r>
    </w:p>
    <w:p>
      <w:pPr>
        <w:pStyle w:val="3"/>
        <w:keepNext w:val="0"/>
        <w:keepLines w:val="0"/>
        <w:pageBreakBefore w:val="0"/>
        <w:widowControl/>
        <w:kinsoku/>
        <w:wordWrap/>
        <w:overflowPunct/>
        <w:topLinePunct w:val="0"/>
        <w:autoSpaceDE/>
        <w:autoSpaceDN/>
        <w:bidi w:val="0"/>
        <w:spacing w:before="299" w:after="299" w:line="560" w:lineRule="atLeast"/>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单位决算情况说明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2023年度收入、支出决算总计</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万元。与年初预算相比，收、支总计各增加</w:t>
      </w:r>
      <w:r>
        <w:rPr>
          <w:rFonts w:hint="eastAsia" w:ascii="仿宋" w:hAnsi="仿宋" w:eastAsia="仿宋" w:cs="仿宋"/>
          <w:kern w:val="0"/>
          <w:sz w:val="32"/>
          <w:szCs w:val="32"/>
          <w:u w:val="single"/>
        </w:rPr>
        <w:t xml:space="preserve"> 33.76</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13.44</w:t>
      </w:r>
      <w:r>
        <w:rPr>
          <w:rFonts w:hint="eastAsia" w:ascii="仿宋" w:hAnsi="仿宋" w:eastAsia="仿宋" w:cs="仿宋"/>
          <w:kern w:val="0"/>
          <w:sz w:val="32"/>
          <w:szCs w:val="32"/>
        </w:rPr>
        <w:t>%，变动原因：增加友好社区创建调研及审核工作，相关费用增加；与上年决算相比，收、支总计各增加</w:t>
      </w:r>
      <w:r>
        <w:rPr>
          <w:rFonts w:hint="eastAsia" w:ascii="仿宋" w:hAnsi="仿宋" w:eastAsia="仿宋" w:cs="仿宋"/>
          <w:kern w:val="0"/>
          <w:sz w:val="32"/>
          <w:szCs w:val="32"/>
          <w:u w:val="single"/>
        </w:rPr>
        <w:t xml:space="preserve"> 105.85</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59.10</w:t>
      </w:r>
      <w:r>
        <w:rPr>
          <w:rFonts w:hint="eastAsia" w:ascii="仿宋" w:hAnsi="仿宋" w:eastAsia="仿宋" w:cs="仿宋"/>
          <w:kern w:val="0"/>
          <w:sz w:val="32"/>
          <w:szCs w:val="32"/>
        </w:rPr>
        <w:t>%。其中：原因为22年9月新录用人员4人，增加率100%，现共计8人。22年未增加人员经费及公用经费，于23年进行追加与发放。23年增加友好社区创建调研及审核工作，相关费用增加。</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xml:space="preserve">    </w:t>
      </w:r>
      <w:r>
        <w:rPr>
          <w:rFonts w:hint="eastAsia" w:ascii="黑体" w:hAnsi="黑体" w:eastAsia="黑体" w:cs="黑体"/>
          <w:b/>
          <w:bCs/>
          <w:kern w:val="0"/>
          <w:sz w:val="32"/>
          <w:szCs w:val="32"/>
        </w:rPr>
        <w:t>（一）收入决算总计</w:t>
      </w:r>
      <w:r>
        <w:rPr>
          <w:rFonts w:hint="eastAsia" w:ascii="黑体" w:hAnsi="黑体" w:eastAsia="黑体" w:cs="黑体"/>
          <w:b/>
          <w:bCs/>
          <w:kern w:val="0"/>
          <w:sz w:val="32"/>
          <w:szCs w:val="32"/>
          <w:u w:val="single"/>
        </w:rPr>
        <w:t xml:space="preserve"> 284.95</w:t>
      </w:r>
      <w:r>
        <w:rPr>
          <w:rFonts w:hint="eastAsia" w:ascii="黑体" w:hAnsi="黑体" w:eastAsia="黑体" w:cs="黑体"/>
          <w:b/>
          <w:bCs/>
          <w:kern w:val="0"/>
          <w:sz w:val="32"/>
          <w:szCs w:val="32"/>
        </w:rPr>
        <w:t>万元。包括：</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1.本年收入决算合计</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 xml:space="preserve"> 105.85</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59.10</w:t>
      </w:r>
      <w:r>
        <w:rPr>
          <w:rFonts w:hint="eastAsia" w:ascii="仿宋" w:hAnsi="仿宋" w:eastAsia="仿宋" w:cs="仿宋"/>
          <w:kern w:val="0"/>
          <w:sz w:val="32"/>
          <w:szCs w:val="32"/>
        </w:rPr>
        <w:t>%，变动原因：原因为22年9月新录用人员4人，增加率100%，现共计8人。22年未增加人员经费及公用经费，于23年进行追加与发放。23年增加友好社区创建调研及审核工作，相关费用增加。</w:t>
      </w:r>
    </w:p>
    <w:p>
      <w:pPr>
        <w:keepNext w:val="0"/>
        <w:keepLines w:val="0"/>
        <w:pageBreakBefore w:val="0"/>
        <w:kinsoku/>
        <w:wordWrap/>
        <w:overflowPunct/>
        <w:topLinePunct w:val="0"/>
        <w:autoSpaceDE/>
        <w:autoSpaceDN/>
        <w:bidi w:val="0"/>
        <w:adjustRightInd/>
        <w:snapToGrid/>
        <w:spacing w:before="0" w:beforeAutospacing="1" w:after="0" w:afterAutospacing="1" w:line="560" w:lineRule="atLeast"/>
        <w:ind w:firstLine="640" w:firstLineChars="200"/>
        <w:jc w:val="both"/>
        <w:textAlignment w:val="auto"/>
        <w:rPr>
          <w:rFonts w:hint="eastAsia" w:ascii="仿宋" w:hAnsi="仿宋" w:eastAsia="仿宋" w:cs="仿宋"/>
          <w:sz w:val="32"/>
          <w:szCs w:val="32"/>
          <w:lang w:val="en-US"/>
        </w:rPr>
      </w:pPr>
      <w:r>
        <w:rPr>
          <w:rFonts w:hint="eastAsia" w:ascii="仿宋" w:hAnsi="仿宋" w:eastAsia="仿宋" w:cs="仿宋"/>
          <w:kern w:val="0"/>
          <w:sz w:val="32"/>
          <w:szCs w:val="32"/>
        </w:rPr>
        <w:t>2.使用非财政拨款结余和专用结余</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w:t>
      </w:r>
      <w:r>
        <w:rPr>
          <w:rFonts w:hint="eastAsia" w:ascii="仿宋" w:hAnsi="仿宋" w:eastAsia="仿宋" w:cs="仿宋"/>
          <w:sz w:val="32"/>
          <w:szCs w:val="32"/>
          <w:lang w:eastAsia="zh-CN"/>
        </w:rPr>
        <w:t>与上年决算相比，无变动。主要原因是不存在此项内容。</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 xml:space="preserve">3.年初结转和结余 </w:t>
      </w:r>
      <w:r>
        <w:rPr>
          <w:rFonts w:hint="eastAsia" w:ascii="仿宋" w:hAnsi="仿宋" w:eastAsia="仿宋" w:cs="仿宋"/>
          <w:kern w:val="0"/>
          <w:sz w:val="32"/>
          <w:szCs w:val="32"/>
          <w:u w:val="single"/>
        </w:rPr>
        <w:t>0.00</w:t>
      </w:r>
      <w:r>
        <w:rPr>
          <w:rFonts w:hint="eastAsia" w:ascii="仿宋" w:hAnsi="仿宋" w:eastAsia="仿宋" w:cs="仿宋"/>
          <w:kern w:val="0"/>
          <w:sz w:val="32"/>
          <w:szCs w:val="32"/>
        </w:rPr>
        <w:t>万元。与上年决算相比，</w:t>
      </w:r>
      <w:r>
        <w:rPr>
          <w:rFonts w:hint="eastAsia" w:ascii="仿宋" w:hAnsi="仿宋" w:eastAsia="仿宋" w:cs="仿宋"/>
          <w:kern w:val="0"/>
          <w:sz w:val="32"/>
          <w:szCs w:val="32"/>
          <w:lang w:eastAsia="zh-CN"/>
        </w:rPr>
        <w:t>无变动</w:t>
      </w:r>
      <w:r>
        <w:rPr>
          <w:rFonts w:hint="eastAsia" w:ascii="仿宋" w:hAnsi="仿宋" w:eastAsia="仿宋" w:cs="仿宋"/>
          <w:kern w:val="0"/>
          <w:sz w:val="32"/>
          <w:szCs w:val="32"/>
        </w:rPr>
        <w:t>，</w:t>
      </w:r>
      <w:r>
        <w:rPr>
          <w:rFonts w:hint="eastAsia" w:ascii="仿宋" w:hAnsi="仿宋" w:eastAsia="仿宋" w:cs="仿宋"/>
          <w:sz w:val="32"/>
          <w:szCs w:val="32"/>
          <w:lang w:eastAsia="zh-CN"/>
        </w:rPr>
        <w:t>主要原因是不存在此项内容。</w:t>
      </w:r>
    </w:p>
    <w:p>
      <w:pPr>
        <w:keepNext w:val="0"/>
        <w:keepLines w:val="0"/>
        <w:pageBreakBefore w:val="0"/>
        <w:widowControl/>
        <w:kinsoku/>
        <w:wordWrap/>
        <w:overflowPunct/>
        <w:topLinePunct w:val="0"/>
        <w:autoSpaceDE/>
        <w:autoSpaceDN/>
        <w:bidi w:val="0"/>
        <w:spacing w:before="240" w:after="240" w:line="560" w:lineRule="atLeast"/>
        <w:ind w:firstLine="506"/>
        <w:jc w:val="left"/>
        <w:rPr>
          <w:rFonts w:hint="eastAsia" w:ascii="黑体" w:hAnsi="黑体" w:eastAsia="黑体" w:cs="黑体"/>
          <w:b/>
          <w:bCs/>
          <w:kern w:val="0"/>
          <w:sz w:val="32"/>
          <w:szCs w:val="32"/>
        </w:rPr>
      </w:pPr>
      <w:r>
        <w:rPr>
          <w:rFonts w:hint="eastAsia" w:ascii="黑体" w:hAnsi="黑体" w:eastAsia="黑体" w:cs="黑体"/>
          <w:b/>
          <w:bCs/>
          <w:kern w:val="0"/>
          <w:sz w:val="32"/>
          <w:szCs w:val="32"/>
        </w:rPr>
        <w:t>（二）支出决算总计</w:t>
      </w:r>
      <w:r>
        <w:rPr>
          <w:rFonts w:hint="eastAsia" w:ascii="黑体" w:hAnsi="黑体" w:eastAsia="黑体" w:cs="黑体"/>
          <w:b/>
          <w:bCs/>
          <w:kern w:val="0"/>
          <w:sz w:val="32"/>
          <w:szCs w:val="32"/>
          <w:u w:val="single"/>
        </w:rPr>
        <w:t xml:space="preserve"> 284.95</w:t>
      </w:r>
      <w:r>
        <w:rPr>
          <w:rFonts w:hint="eastAsia" w:ascii="黑体" w:hAnsi="黑体" w:eastAsia="黑体" w:cs="黑体"/>
          <w:b/>
          <w:bCs/>
          <w:kern w:val="0"/>
          <w:sz w:val="32"/>
          <w:szCs w:val="32"/>
        </w:rPr>
        <w:t>万元。包括：</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 xml:space="preserve"> 1.本年支出决算合计</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 xml:space="preserve"> 105.85</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59.10</w:t>
      </w:r>
      <w:r>
        <w:rPr>
          <w:rFonts w:hint="eastAsia" w:ascii="仿宋" w:hAnsi="仿宋" w:eastAsia="仿宋" w:cs="仿宋"/>
          <w:kern w:val="0"/>
          <w:sz w:val="32"/>
          <w:szCs w:val="32"/>
        </w:rPr>
        <w:t>%，变动原因：原因为22年9月新录用人员4人，增加率100%，现共计8人。22年未增加人员经费及公用经费，于23年进行追加与发放。23年增加友好社区创建调研及审核工作，相关费用增加。</w:t>
      </w:r>
    </w:p>
    <w:p>
      <w:pPr>
        <w:keepNext w:val="0"/>
        <w:keepLines w:val="0"/>
        <w:pageBreakBefore w:val="0"/>
        <w:kinsoku/>
        <w:wordWrap/>
        <w:overflowPunct/>
        <w:topLinePunct w:val="0"/>
        <w:autoSpaceDE/>
        <w:autoSpaceDN/>
        <w:bidi w:val="0"/>
        <w:adjustRightInd/>
        <w:snapToGrid/>
        <w:spacing w:before="0" w:beforeAutospacing="1" w:after="0" w:afterAutospacing="1" w:line="560" w:lineRule="atLeast"/>
        <w:ind w:firstLine="640" w:firstLineChars="200"/>
        <w:jc w:val="both"/>
        <w:textAlignment w:val="auto"/>
        <w:rPr>
          <w:rFonts w:hint="eastAsia" w:ascii="仿宋" w:hAnsi="仿宋" w:eastAsia="仿宋" w:cs="仿宋"/>
          <w:sz w:val="32"/>
          <w:szCs w:val="32"/>
          <w:lang w:val="en-US"/>
        </w:rPr>
      </w:pPr>
      <w:r>
        <w:rPr>
          <w:rFonts w:hint="eastAsia" w:ascii="仿宋" w:hAnsi="仿宋" w:eastAsia="仿宋" w:cs="仿宋"/>
          <w:kern w:val="0"/>
          <w:sz w:val="32"/>
          <w:szCs w:val="32"/>
        </w:rPr>
        <w:t> </w:t>
      </w:r>
      <w:r>
        <w:rPr>
          <w:rFonts w:hint="eastAsia" w:ascii="仿宋" w:hAnsi="仿宋" w:eastAsia="仿宋" w:cs="仿宋"/>
          <w:sz w:val="32"/>
          <w:szCs w:val="32"/>
          <w:lang w:val="en-US"/>
        </w:rPr>
        <w:t>2.</w:t>
      </w:r>
      <w:r>
        <w:rPr>
          <w:rFonts w:hint="eastAsia" w:ascii="仿宋" w:hAnsi="仿宋" w:eastAsia="仿宋" w:cs="仿宋"/>
          <w:sz w:val="32"/>
          <w:szCs w:val="32"/>
          <w:lang w:eastAsia="zh-CN"/>
        </w:rPr>
        <w:t>结余分配</w:t>
      </w:r>
      <w:r>
        <w:rPr>
          <w:rFonts w:hint="eastAsia" w:ascii="仿宋" w:hAnsi="仿宋" w:eastAsia="仿宋" w:cs="仿宋"/>
          <w:sz w:val="32"/>
          <w:szCs w:val="32"/>
          <w:lang w:val="en-US"/>
        </w:rPr>
        <w:t>0.00</w:t>
      </w:r>
      <w:r>
        <w:rPr>
          <w:rFonts w:hint="eastAsia" w:ascii="仿宋" w:hAnsi="仿宋" w:eastAsia="仿宋" w:cs="仿宋"/>
          <w:sz w:val="32"/>
          <w:szCs w:val="32"/>
          <w:lang w:eastAsia="zh-CN"/>
        </w:rPr>
        <w:t>万元。无结余分配事项。与上年决算相比，无变动。主要原因是不存在此项内容。</w:t>
      </w:r>
    </w:p>
    <w:p>
      <w:pPr>
        <w:keepNext w:val="0"/>
        <w:keepLines w:val="0"/>
        <w:pageBreakBefore w:val="0"/>
        <w:kinsoku/>
        <w:wordWrap/>
        <w:overflowPunct/>
        <w:topLinePunct w:val="0"/>
        <w:autoSpaceDE/>
        <w:autoSpaceDN/>
        <w:bidi w:val="0"/>
        <w:adjustRightInd/>
        <w:snapToGrid/>
        <w:spacing w:before="0" w:beforeAutospacing="1" w:after="0" w:afterAutospacing="1" w:line="560" w:lineRule="atLeas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sz w:val="32"/>
          <w:szCs w:val="32"/>
          <w:lang w:val="en-US"/>
        </w:rPr>
        <w:t>3.</w:t>
      </w:r>
      <w:r>
        <w:rPr>
          <w:rFonts w:hint="eastAsia" w:ascii="仿宋" w:hAnsi="仿宋" w:eastAsia="仿宋" w:cs="仿宋"/>
          <w:sz w:val="32"/>
          <w:szCs w:val="32"/>
          <w:lang w:eastAsia="zh-CN"/>
        </w:rPr>
        <w:t>年末结转和结余</w:t>
      </w:r>
      <w:r>
        <w:rPr>
          <w:rFonts w:hint="eastAsia" w:ascii="仿宋" w:hAnsi="仿宋" w:eastAsia="仿宋" w:cs="仿宋"/>
          <w:sz w:val="32"/>
          <w:szCs w:val="32"/>
          <w:lang w:val="en-US"/>
        </w:rPr>
        <w:t>0.00</w:t>
      </w:r>
      <w:r>
        <w:rPr>
          <w:rFonts w:hint="eastAsia" w:ascii="仿宋" w:hAnsi="仿宋" w:eastAsia="仿宋" w:cs="仿宋"/>
          <w:sz w:val="32"/>
          <w:szCs w:val="32"/>
          <w:lang w:eastAsia="zh-CN"/>
        </w:rPr>
        <w:t>万元。无结转和结余事项。与上年决算相比，无变动。主要原因是不存在此项内容。</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2023年度本年收入决算合计</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本年一般公共预算财政拨款收入</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100.00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本年政府性基金预算财政拨款收入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本年国有资本经营预算财政拨款收入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本年上级补助收入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本年事业收入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本年经营收入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本年附属单位上缴收入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本年其他收入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before="240" w:after="240" w:line="560" w:lineRule="atLeast"/>
        <w:ind w:firstLine="481"/>
        <w:rPr>
          <w:rFonts w:hint="eastAsia" w:ascii="fang_song_gb2312" w:hAnsi="fang_song_gb2312" w:eastAsia="宋体" w:cs="fang_song_gb2312"/>
          <w:kern w:val="0"/>
          <w:sz w:val="27"/>
          <w:szCs w:val="27"/>
          <w:lang w:eastAsia="zh-CN"/>
        </w:rPr>
      </w:pPr>
      <w:r>
        <w:rPr>
          <w:rFonts w:hint="eastAsia" w:ascii="fang_song_gb2312" w:hAnsi="fang_song_gb2312" w:eastAsia="宋体" w:cs="fang_song_gb2312"/>
          <w:kern w:val="0"/>
          <w:sz w:val="27"/>
          <w:szCs w:val="27"/>
          <w:lang w:eastAsia="zh-CN"/>
        </w:rPr>
        <w:drawing>
          <wp:inline distT="0" distB="0" distL="114300" distR="114300">
            <wp:extent cx="5294630" cy="2638425"/>
            <wp:effectExtent l="4445" t="4445" r="19685" b="889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keepNext w:val="0"/>
        <w:keepLines w:val="0"/>
        <w:pageBreakBefore w:val="0"/>
        <w:widowControl/>
        <w:kinsoku/>
        <w:wordWrap/>
        <w:overflowPunct/>
        <w:topLinePunct w:val="0"/>
        <w:autoSpaceDE/>
        <w:autoSpaceDN/>
        <w:bidi w:val="0"/>
        <w:spacing w:before="240" w:after="240" w:line="560" w:lineRule="atLeast"/>
        <w:jc w:val="center"/>
        <w:rPr>
          <w:rFonts w:hint="eastAsia" w:ascii="仿宋" w:hAnsi="仿宋" w:eastAsia="仿宋" w:cs="仿宋"/>
          <w:kern w:val="0"/>
          <w:sz w:val="32"/>
          <w:szCs w:val="32"/>
        </w:rPr>
      </w:pPr>
      <w:r>
        <w:rPr>
          <w:rFonts w:hint="eastAsia" w:ascii="仿宋" w:hAnsi="仿宋" w:eastAsia="仿宋" w:cs="仿宋"/>
          <w:kern w:val="0"/>
          <w:sz w:val="32"/>
          <w:szCs w:val="32"/>
        </w:rPr>
        <w:t>图1.收入决算图</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rPr>
        <w:t>  三、支出决算情况说明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540" w:firstLineChars="200"/>
        <w:textAlignment w:val="auto"/>
        <w:rPr>
          <w:rFonts w:hint="eastAsia" w:ascii="仿宋" w:hAnsi="仿宋" w:eastAsia="仿宋" w:cs="仿宋"/>
          <w:kern w:val="0"/>
          <w:sz w:val="32"/>
          <w:szCs w:val="32"/>
        </w:rPr>
      </w:pPr>
      <w:r>
        <w:rPr>
          <w:rFonts w:ascii="fang_song_gb2312" w:hAnsi="fang_song_gb2312" w:eastAsia="fang_song_gb2312" w:cs="fang_song_gb2312"/>
          <w:color w:val="0E00FE"/>
          <w:kern w:val="0"/>
          <w:sz w:val="27"/>
          <w:szCs w:val="27"/>
        </w:rPr>
        <w:t> </w:t>
      </w:r>
      <w:r>
        <w:rPr>
          <w:rFonts w:hint="eastAsia" w:ascii="仿宋" w:hAnsi="仿宋" w:eastAsia="仿宋" w:cs="仿宋"/>
          <w:kern w:val="0"/>
          <w:sz w:val="32"/>
          <w:szCs w:val="32"/>
        </w:rPr>
        <w:t>内蒙古自治区老龄工作委员会办公室 2023年度本年支出决算合计</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本年基本支出</w:t>
      </w:r>
      <w:r>
        <w:rPr>
          <w:rFonts w:hint="eastAsia" w:ascii="仿宋" w:hAnsi="仿宋" w:eastAsia="仿宋" w:cs="仿宋"/>
          <w:kern w:val="0"/>
          <w:sz w:val="32"/>
          <w:szCs w:val="32"/>
          <w:u w:val="single"/>
        </w:rPr>
        <w:t xml:space="preserve"> 189.61</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66.54</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本年项目支出</w:t>
      </w:r>
      <w:r>
        <w:rPr>
          <w:rFonts w:hint="eastAsia" w:ascii="仿宋" w:hAnsi="仿宋" w:eastAsia="仿宋" w:cs="仿宋"/>
          <w:kern w:val="0"/>
          <w:sz w:val="32"/>
          <w:szCs w:val="32"/>
          <w:u w:val="single"/>
        </w:rPr>
        <w:t xml:space="preserve"> 95.35</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33.46</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本年上缴上级支出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本年经营支出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本年对附属单位补助支出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before="240" w:after="240" w:line="560" w:lineRule="atLeas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hint="eastAsia" w:ascii="Times New Roman" w:hAnsi="Times New Roman" w:eastAsia="宋体" w:cs="Times New Roman"/>
          <w:kern w:val="0"/>
          <w:sz w:val="24"/>
          <w:lang w:eastAsia="zh-CN"/>
        </w:rPr>
        <w:drawing>
          <wp:inline distT="0" distB="0" distL="114300" distR="114300">
            <wp:extent cx="5256530" cy="2988310"/>
            <wp:effectExtent l="5080" t="4445" r="11430" b="952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kinsoku/>
        <w:wordWrap/>
        <w:overflowPunct/>
        <w:topLinePunct w:val="0"/>
        <w:autoSpaceDE/>
        <w:autoSpaceDN/>
        <w:bidi w:val="0"/>
        <w:spacing w:before="240" w:after="240" w:line="560" w:lineRule="atLeast"/>
        <w:jc w:val="center"/>
        <w:rPr>
          <w:rFonts w:hint="eastAsia" w:ascii="仿宋" w:hAnsi="仿宋" w:eastAsia="仿宋" w:cs="仿宋"/>
          <w:kern w:val="0"/>
          <w:sz w:val="32"/>
          <w:szCs w:val="32"/>
        </w:rPr>
      </w:pPr>
      <w:r>
        <w:rPr>
          <w:rFonts w:hint="eastAsia" w:ascii="仿宋" w:hAnsi="仿宋" w:eastAsia="仿宋" w:cs="仿宋"/>
          <w:kern w:val="0"/>
          <w:sz w:val="32"/>
          <w:szCs w:val="32"/>
        </w:rPr>
        <w:t>图2.支出决算图</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hint="eastAsia" w:ascii="黑体" w:hAnsi="黑体" w:eastAsia="黑体" w:cs="黑体"/>
          <w:b/>
          <w:bCs/>
          <w:kern w:val="0"/>
          <w:sz w:val="32"/>
          <w:szCs w:val="32"/>
        </w:rPr>
        <w:t>    四、财政拨款收入支出决算总体情况说明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2023年度财政拨款收入、支出决算总计</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万元，与年初预算相比，收、支总计各增加</w:t>
      </w:r>
      <w:r>
        <w:rPr>
          <w:rFonts w:hint="eastAsia" w:ascii="仿宋" w:hAnsi="仿宋" w:eastAsia="仿宋" w:cs="仿宋"/>
          <w:kern w:val="0"/>
          <w:sz w:val="32"/>
          <w:szCs w:val="32"/>
          <w:u w:val="single"/>
        </w:rPr>
        <w:t xml:space="preserve"> 33.76</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13.44</w:t>
      </w:r>
      <w:r>
        <w:rPr>
          <w:rFonts w:hint="eastAsia" w:ascii="仿宋" w:hAnsi="仿宋" w:eastAsia="仿宋" w:cs="仿宋"/>
          <w:kern w:val="0"/>
          <w:sz w:val="32"/>
          <w:szCs w:val="32"/>
        </w:rPr>
        <w:t>%，变动原因：增加友好社区创建调研及审核工作，相关费用增加；与上年决算相比，收、支总计各增加</w:t>
      </w:r>
      <w:r>
        <w:rPr>
          <w:rFonts w:hint="eastAsia" w:ascii="仿宋" w:hAnsi="仿宋" w:eastAsia="仿宋" w:cs="仿宋"/>
          <w:kern w:val="0"/>
          <w:sz w:val="32"/>
          <w:szCs w:val="32"/>
          <w:u w:val="single"/>
        </w:rPr>
        <w:t xml:space="preserve"> 105.85</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59.10</w:t>
      </w:r>
      <w:r>
        <w:rPr>
          <w:rFonts w:hint="eastAsia" w:ascii="仿宋" w:hAnsi="仿宋" w:eastAsia="仿宋" w:cs="仿宋"/>
          <w:kern w:val="0"/>
          <w:sz w:val="32"/>
          <w:szCs w:val="32"/>
        </w:rPr>
        <w:t>%，变动原因：原因为22年9月新录用人员4人，增加率100%，现共计8人。22年未增加人员经费及公用经费，于23年进行追加与发放。23年增加友好社区创建调研及审核工作，相关费用增加。</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2023年度一般公共预算财政拨款支出决算</w:t>
      </w:r>
      <w:r>
        <w:rPr>
          <w:rFonts w:hint="eastAsia" w:ascii="仿宋" w:hAnsi="仿宋" w:eastAsia="仿宋" w:cs="仿宋"/>
          <w:kern w:val="0"/>
          <w:sz w:val="32"/>
          <w:szCs w:val="32"/>
          <w:u w:val="single"/>
        </w:rPr>
        <w:t xml:space="preserve"> 284.95</w:t>
      </w:r>
      <w:r>
        <w:rPr>
          <w:rFonts w:hint="eastAsia" w:ascii="仿宋" w:hAnsi="仿宋" w:eastAsia="仿宋" w:cs="仿宋"/>
          <w:kern w:val="0"/>
          <w:sz w:val="32"/>
          <w:szCs w:val="32"/>
        </w:rPr>
        <w:t>万元。与年初预算</w:t>
      </w:r>
      <w:r>
        <w:rPr>
          <w:rFonts w:hint="eastAsia" w:ascii="仿宋" w:hAnsi="仿宋" w:eastAsia="仿宋" w:cs="仿宋"/>
          <w:kern w:val="0"/>
          <w:sz w:val="32"/>
          <w:szCs w:val="32"/>
          <w:u w:val="single"/>
        </w:rPr>
        <w:t xml:space="preserve"> 251.19</w:t>
      </w:r>
      <w:r>
        <w:rPr>
          <w:rFonts w:hint="eastAsia" w:ascii="仿宋" w:hAnsi="仿宋" w:eastAsia="仿宋" w:cs="仿宋"/>
          <w:kern w:val="0"/>
          <w:sz w:val="32"/>
          <w:szCs w:val="32"/>
        </w:rPr>
        <w:t>万元相比，完成年初预算的</w:t>
      </w:r>
      <w:r>
        <w:rPr>
          <w:rFonts w:hint="eastAsia" w:ascii="仿宋" w:hAnsi="仿宋" w:eastAsia="仿宋" w:cs="仿宋"/>
          <w:kern w:val="0"/>
          <w:sz w:val="32"/>
          <w:szCs w:val="32"/>
          <w:u w:val="single"/>
        </w:rPr>
        <w:t xml:space="preserve"> 113.44</w:t>
      </w:r>
      <w:r>
        <w:rPr>
          <w:rFonts w:hint="eastAsia" w:ascii="仿宋" w:hAnsi="仿宋" w:eastAsia="仿宋" w:cs="仿宋"/>
          <w:kern w:val="0"/>
          <w:sz w:val="32"/>
          <w:szCs w:val="32"/>
        </w:rPr>
        <w:t>%。其中：</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kai_ti_gb2312" w:hAnsi="kai_ti_gb2312" w:eastAsia="kai_ti_gb2312" w:cs="kai_ti_gb2312"/>
          <w:b/>
          <w:bCs/>
          <w:kern w:val="0"/>
          <w:sz w:val="27"/>
          <w:szCs w:val="27"/>
        </w:rPr>
        <w:t>   </w:t>
      </w:r>
      <w:r>
        <w:rPr>
          <w:rFonts w:hint="eastAsia" w:ascii="黑体" w:hAnsi="黑体" w:eastAsia="黑体" w:cs="黑体"/>
          <w:b/>
          <w:bCs/>
          <w:kern w:val="0"/>
          <w:sz w:val="32"/>
          <w:szCs w:val="32"/>
        </w:rPr>
        <w:t xml:space="preserve"> （</w:t>
      </w:r>
      <w:r>
        <w:rPr>
          <w:rFonts w:hint="eastAsia" w:ascii="黑体" w:hAnsi="黑体" w:eastAsia="黑体" w:cs="黑体"/>
          <w:b/>
          <w:bCs/>
          <w:kern w:val="0"/>
          <w:sz w:val="32"/>
          <w:szCs w:val="32"/>
          <w:lang w:eastAsia="zh-CN"/>
        </w:rPr>
        <w:t>一</w:t>
      </w:r>
      <w:r>
        <w:rPr>
          <w:rFonts w:hint="eastAsia" w:ascii="黑体" w:hAnsi="黑体" w:eastAsia="黑体" w:cs="黑体"/>
          <w:b/>
          <w:bCs/>
          <w:kern w:val="0"/>
          <w:sz w:val="32"/>
          <w:szCs w:val="32"/>
        </w:rPr>
        <w:t>）社会保障和就业支出（类）</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yellow"/>
        </w:rPr>
      </w:pPr>
      <w:r>
        <w:rPr>
          <w:rFonts w:hint="eastAsia" w:ascii="仿宋" w:hAnsi="仿宋" w:eastAsia="仿宋" w:cs="仿宋"/>
          <w:kern w:val="0"/>
          <w:sz w:val="32"/>
          <w:szCs w:val="32"/>
          <w:highlight w:val="none"/>
        </w:rPr>
        <w:t>社会保障和就业支出类决算数为</w:t>
      </w:r>
      <w:r>
        <w:rPr>
          <w:rFonts w:hint="eastAsia" w:ascii="仿宋" w:hAnsi="仿宋" w:eastAsia="仿宋" w:cs="仿宋"/>
          <w:kern w:val="0"/>
          <w:sz w:val="32"/>
          <w:szCs w:val="32"/>
          <w:highlight w:val="none"/>
          <w:u w:val="single"/>
        </w:rPr>
        <w:t xml:space="preserve"> 47.01</w:t>
      </w:r>
      <w:r>
        <w:rPr>
          <w:rFonts w:hint="eastAsia" w:ascii="仿宋" w:hAnsi="仿宋" w:eastAsia="仿宋" w:cs="仿宋"/>
          <w:kern w:val="0"/>
          <w:sz w:val="32"/>
          <w:szCs w:val="32"/>
          <w:highlight w:val="none"/>
        </w:rPr>
        <w:t>万元，与年初预算相比增加</w:t>
      </w:r>
      <w:r>
        <w:rPr>
          <w:rFonts w:hint="eastAsia" w:ascii="仿宋" w:hAnsi="仿宋" w:eastAsia="仿宋" w:cs="仿宋"/>
          <w:kern w:val="0"/>
          <w:sz w:val="32"/>
          <w:szCs w:val="32"/>
          <w:highlight w:val="none"/>
          <w:u w:val="single"/>
        </w:rPr>
        <w:t>20.11</w:t>
      </w:r>
      <w:r>
        <w:rPr>
          <w:rFonts w:hint="eastAsia" w:ascii="仿宋" w:hAnsi="仿宋" w:eastAsia="仿宋" w:cs="仿宋"/>
          <w:kern w:val="0"/>
          <w:sz w:val="32"/>
          <w:szCs w:val="32"/>
          <w:highlight w:val="none"/>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cyan"/>
        </w:rPr>
      </w:pPr>
      <w:r>
        <w:rPr>
          <w:rFonts w:hint="eastAsia" w:ascii="仿宋" w:hAnsi="仿宋" w:eastAsia="仿宋" w:cs="仿宋"/>
          <w:kern w:val="0"/>
          <w:sz w:val="32"/>
          <w:szCs w:val="32"/>
          <w:highlight w:val="none"/>
        </w:rPr>
        <w:t>1．行政事业单位养老支出（款）行政单位离退休（项）。年初预算</w:t>
      </w:r>
      <w:r>
        <w:rPr>
          <w:rFonts w:hint="eastAsia" w:ascii="仿宋" w:hAnsi="仿宋" w:eastAsia="仿宋" w:cs="仿宋"/>
          <w:kern w:val="0"/>
          <w:sz w:val="32"/>
          <w:szCs w:val="32"/>
          <w:highlight w:val="none"/>
          <w:u w:val="single"/>
          <w:lang w:val="en-US" w:eastAsia="zh-CN"/>
        </w:rPr>
        <w:t>5.75</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5</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86.96</w:t>
      </w:r>
      <w:r>
        <w:rPr>
          <w:rFonts w:hint="eastAsia" w:ascii="仿宋" w:hAnsi="仿宋" w:eastAsia="仿宋" w:cs="仿宋"/>
          <w:kern w:val="0"/>
          <w:sz w:val="32"/>
          <w:szCs w:val="32"/>
          <w:highlight w:val="none"/>
        </w:rPr>
        <w:t>%。决算数与年初预算数的差异原因：</w:t>
      </w:r>
      <w:r>
        <w:rPr>
          <w:rFonts w:hint="eastAsia" w:ascii="仿宋" w:hAnsi="仿宋" w:eastAsia="仿宋" w:cs="仿宋"/>
          <w:sz w:val="32"/>
          <w:szCs w:val="32"/>
          <w:highlight w:val="none"/>
          <w:lang w:eastAsia="zh-CN"/>
        </w:rPr>
        <w:t>行政单位离退休本年减少支出</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cyan"/>
        </w:rPr>
      </w:pPr>
      <w:r>
        <w:rPr>
          <w:rFonts w:hint="eastAsia" w:ascii="仿宋" w:hAnsi="仿宋" w:eastAsia="仿宋" w:cs="仿宋"/>
          <w:kern w:val="0"/>
          <w:sz w:val="32"/>
          <w:szCs w:val="32"/>
          <w:highlight w:val="none"/>
        </w:rPr>
        <w:t>2．行政事业单位养老支出（款）事业单位离退休（项）。年初预算</w:t>
      </w:r>
      <w:r>
        <w:rPr>
          <w:rFonts w:hint="eastAsia" w:ascii="仿宋" w:hAnsi="仿宋" w:eastAsia="仿宋" w:cs="仿宋"/>
          <w:kern w:val="0"/>
          <w:sz w:val="32"/>
          <w:szCs w:val="32"/>
          <w:highlight w:val="none"/>
          <w:u w:val="single"/>
          <w:lang w:val="en-US" w:eastAsia="zh-CN"/>
        </w:rPr>
        <w:t>5.02</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4.48</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89.24</w:t>
      </w:r>
      <w:r>
        <w:rPr>
          <w:rFonts w:hint="eastAsia" w:ascii="仿宋" w:hAnsi="仿宋" w:eastAsia="仿宋" w:cs="仿宋"/>
          <w:kern w:val="0"/>
          <w:sz w:val="32"/>
          <w:szCs w:val="32"/>
          <w:highlight w:val="none"/>
        </w:rPr>
        <w:t>%。决算数与年初预算数的差异原因：事业单位离退休</w:t>
      </w:r>
      <w:r>
        <w:rPr>
          <w:rFonts w:hint="eastAsia" w:ascii="仿宋" w:hAnsi="仿宋" w:eastAsia="仿宋" w:cs="仿宋"/>
          <w:kern w:val="0"/>
          <w:sz w:val="32"/>
          <w:szCs w:val="32"/>
          <w:highlight w:val="none"/>
          <w:lang w:eastAsia="zh-CN"/>
        </w:rPr>
        <w:t>本年</w:t>
      </w:r>
      <w:r>
        <w:rPr>
          <w:rFonts w:hint="eastAsia" w:ascii="仿宋" w:hAnsi="仿宋" w:eastAsia="仿宋" w:cs="仿宋"/>
          <w:sz w:val="32"/>
          <w:szCs w:val="32"/>
          <w:highlight w:val="none"/>
          <w:lang w:eastAsia="zh-CN"/>
        </w:rPr>
        <w:t>减少支出</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3．行政事业单位养老支出（款）机关事业单位基本养老保险缴费支出（项）。年初预算</w:t>
      </w:r>
      <w:r>
        <w:rPr>
          <w:rFonts w:hint="eastAsia" w:ascii="仿宋" w:hAnsi="仿宋" w:eastAsia="仿宋" w:cs="仿宋"/>
          <w:kern w:val="0"/>
          <w:sz w:val="32"/>
          <w:szCs w:val="32"/>
          <w:highlight w:val="none"/>
          <w:u w:val="single"/>
          <w:lang w:val="en-US" w:eastAsia="zh-CN"/>
        </w:rPr>
        <w:t>10.75</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10.75</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100</w:t>
      </w:r>
      <w:r>
        <w:rPr>
          <w:rFonts w:hint="eastAsia" w:ascii="仿宋" w:hAnsi="仿宋" w:eastAsia="仿宋" w:cs="仿宋"/>
          <w:kern w:val="0"/>
          <w:sz w:val="32"/>
          <w:szCs w:val="32"/>
          <w:highlight w:val="none"/>
        </w:rPr>
        <w:t>%。决算数与年初预算数的差异原因：</w:t>
      </w:r>
      <w:r>
        <w:rPr>
          <w:rFonts w:hint="eastAsia" w:ascii="仿宋" w:hAnsi="仿宋" w:eastAsia="仿宋" w:cs="仿宋"/>
          <w:kern w:val="0"/>
          <w:sz w:val="32"/>
          <w:szCs w:val="32"/>
          <w:highlight w:val="none"/>
          <w:lang w:eastAsia="zh-CN"/>
        </w:rPr>
        <w:t>无差异</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rPr>
        <w:t>4．行政事业单位养老支出（款）机关事业单位职业年金缴费支出（项）。年初预算</w:t>
      </w:r>
      <w:r>
        <w:rPr>
          <w:rFonts w:hint="eastAsia" w:ascii="仿宋" w:hAnsi="仿宋" w:eastAsia="仿宋" w:cs="仿宋"/>
          <w:kern w:val="0"/>
          <w:sz w:val="32"/>
          <w:szCs w:val="32"/>
          <w:highlight w:val="none"/>
          <w:u w:val="single"/>
          <w:lang w:val="en-US" w:eastAsia="zh-CN"/>
        </w:rPr>
        <w:t>5.38</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5.38</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100</w:t>
      </w:r>
      <w:r>
        <w:rPr>
          <w:rFonts w:hint="eastAsia" w:ascii="仿宋" w:hAnsi="仿宋" w:eastAsia="仿宋" w:cs="仿宋"/>
          <w:kern w:val="0"/>
          <w:sz w:val="32"/>
          <w:szCs w:val="32"/>
          <w:highlight w:val="none"/>
        </w:rPr>
        <w:t>%。决算数与年初预算数的差异原因：</w:t>
      </w:r>
      <w:r>
        <w:rPr>
          <w:rFonts w:hint="eastAsia" w:ascii="仿宋" w:hAnsi="仿宋" w:eastAsia="仿宋" w:cs="仿宋"/>
          <w:kern w:val="0"/>
          <w:sz w:val="32"/>
          <w:szCs w:val="32"/>
          <w:highlight w:val="none"/>
          <w:lang w:eastAsia="zh-CN"/>
        </w:rPr>
        <w:t>无差异。</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cyan"/>
          <w:lang w:val="en-US" w:eastAsia="zh-CN"/>
        </w:rPr>
      </w:pPr>
      <w:r>
        <w:rPr>
          <w:rFonts w:hint="eastAsia" w:ascii="仿宋" w:hAnsi="仿宋" w:eastAsia="仿宋" w:cs="仿宋"/>
          <w:kern w:val="0"/>
          <w:sz w:val="32"/>
          <w:szCs w:val="32"/>
          <w:highlight w:val="none"/>
          <w:lang w:val="en-US" w:eastAsia="zh-CN"/>
        </w:rPr>
        <w:t>5.死亡抚恤支出。年初预算0.00万元，支出决算21.41万元。</w:t>
      </w:r>
      <w:r>
        <w:rPr>
          <w:rFonts w:hint="eastAsia" w:ascii="仿宋" w:hAnsi="仿宋" w:eastAsia="仿宋" w:cs="仿宋"/>
          <w:kern w:val="0"/>
          <w:sz w:val="32"/>
          <w:szCs w:val="32"/>
          <w:highlight w:val="none"/>
        </w:rPr>
        <w:t>决算数与年初预算数的差异原因：</w:t>
      </w:r>
      <w:r>
        <w:rPr>
          <w:rFonts w:hint="eastAsia" w:ascii="仿宋" w:hAnsi="仿宋" w:eastAsia="仿宋" w:cs="仿宋"/>
          <w:sz w:val="32"/>
          <w:szCs w:val="32"/>
          <w:highlight w:val="none"/>
          <w:lang w:eastAsia="zh-CN"/>
        </w:rPr>
        <w:t>此项经费为</w:t>
      </w:r>
      <w:r>
        <w:rPr>
          <w:rFonts w:hint="eastAsia" w:ascii="仿宋" w:hAnsi="仿宋" w:eastAsia="仿宋" w:cs="仿宋"/>
          <w:sz w:val="32"/>
          <w:szCs w:val="32"/>
          <w:highlight w:val="none"/>
          <w:lang w:val="en-US"/>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年新增</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kai_ti_gb2312" w:hAnsi="kai_ti_gb2312" w:eastAsia="kai_ti_gb2312" w:cs="kai_ti_gb2312"/>
          <w:b/>
          <w:bCs/>
          <w:kern w:val="0"/>
          <w:sz w:val="27"/>
          <w:szCs w:val="27"/>
        </w:rPr>
        <w:t xml:space="preserve">    </w:t>
      </w:r>
      <w:r>
        <w:rPr>
          <w:rFonts w:hint="eastAsia" w:ascii="黑体" w:hAnsi="黑体" w:eastAsia="黑体" w:cs="黑体"/>
          <w:b/>
          <w:bCs/>
          <w:kern w:val="0"/>
          <w:sz w:val="32"/>
          <w:szCs w:val="32"/>
        </w:rPr>
        <w:t>（</w:t>
      </w:r>
      <w:r>
        <w:rPr>
          <w:rFonts w:hint="eastAsia" w:ascii="黑体" w:hAnsi="黑体" w:eastAsia="黑体" w:cs="黑体"/>
          <w:b/>
          <w:bCs/>
          <w:kern w:val="0"/>
          <w:sz w:val="32"/>
          <w:szCs w:val="32"/>
          <w:lang w:eastAsia="zh-CN"/>
        </w:rPr>
        <w:t>二</w:t>
      </w:r>
      <w:r>
        <w:rPr>
          <w:rFonts w:hint="eastAsia" w:ascii="黑体" w:hAnsi="黑体" w:eastAsia="黑体" w:cs="黑体"/>
          <w:b/>
          <w:bCs/>
          <w:kern w:val="0"/>
          <w:sz w:val="32"/>
          <w:szCs w:val="32"/>
        </w:rPr>
        <w:t>）卫生健康支出（类）</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卫生健康支出类决算数为</w:t>
      </w:r>
      <w:r>
        <w:rPr>
          <w:rFonts w:hint="eastAsia" w:ascii="仿宋" w:hAnsi="仿宋" w:eastAsia="仿宋" w:cs="仿宋"/>
          <w:kern w:val="0"/>
          <w:sz w:val="32"/>
          <w:szCs w:val="32"/>
          <w:highlight w:val="none"/>
          <w:u w:val="single"/>
        </w:rPr>
        <w:t xml:space="preserve"> 226.96</w:t>
      </w:r>
      <w:r>
        <w:rPr>
          <w:rFonts w:hint="eastAsia" w:ascii="仿宋" w:hAnsi="仿宋" w:eastAsia="仿宋" w:cs="仿宋"/>
          <w:kern w:val="0"/>
          <w:sz w:val="32"/>
          <w:szCs w:val="32"/>
          <w:highlight w:val="none"/>
        </w:rPr>
        <w:t>万元，与年初预算相比增加</w:t>
      </w:r>
      <w:r>
        <w:rPr>
          <w:rFonts w:hint="eastAsia" w:ascii="仿宋" w:hAnsi="仿宋" w:eastAsia="仿宋" w:cs="仿宋"/>
          <w:kern w:val="0"/>
          <w:sz w:val="32"/>
          <w:szCs w:val="32"/>
          <w:highlight w:val="none"/>
          <w:u w:val="single"/>
        </w:rPr>
        <w:t xml:space="preserve"> 13.65</w:t>
      </w:r>
      <w:r>
        <w:rPr>
          <w:rFonts w:hint="eastAsia" w:ascii="仿宋" w:hAnsi="仿宋" w:eastAsia="仿宋" w:cs="仿宋"/>
          <w:kern w:val="0"/>
          <w:sz w:val="32"/>
          <w:szCs w:val="32"/>
          <w:highlight w:val="none"/>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1．行政事业单位医疗（款）行政单位医疗（项）。年初预算</w:t>
      </w:r>
      <w:r>
        <w:rPr>
          <w:rFonts w:hint="eastAsia" w:ascii="仿宋" w:hAnsi="仿宋" w:eastAsia="仿宋" w:cs="仿宋"/>
          <w:kern w:val="0"/>
          <w:sz w:val="32"/>
          <w:szCs w:val="32"/>
          <w:highlight w:val="none"/>
          <w:u w:val="single"/>
          <w:lang w:val="en-US" w:eastAsia="zh-CN"/>
        </w:rPr>
        <w:t>4.44</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4.27</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96.17</w:t>
      </w:r>
      <w:r>
        <w:rPr>
          <w:rFonts w:hint="eastAsia" w:ascii="仿宋" w:hAnsi="仿宋" w:eastAsia="仿宋" w:cs="仿宋"/>
          <w:kern w:val="0"/>
          <w:sz w:val="32"/>
          <w:szCs w:val="32"/>
          <w:highlight w:val="none"/>
        </w:rPr>
        <w:t>%。决算数与年初预算数的差异原因：行政单位医疗</w:t>
      </w:r>
      <w:r>
        <w:rPr>
          <w:rFonts w:hint="eastAsia" w:ascii="仿宋" w:hAnsi="仿宋" w:eastAsia="仿宋" w:cs="仿宋"/>
          <w:kern w:val="0"/>
          <w:sz w:val="32"/>
          <w:szCs w:val="32"/>
          <w:highlight w:val="none"/>
          <w:lang w:eastAsia="zh-CN"/>
        </w:rPr>
        <w:t>本年减少支出</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rPr>
        <w:t>．行政事业单位医疗（款）公务员医疗补助（项）。年初预算</w:t>
      </w:r>
      <w:r>
        <w:rPr>
          <w:rFonts w:hint="eastAsia" w:ascii="仿宋" w:hAnsi="仿宋" w:eastAsia="仿宋" w:cs="仿宋"/>
          <w:kern w:val="0"/>
          <w:sz w:val="32"/>
          <w:szCs w:val="32"/>
          <w:highlight w:val="none"/>
          <w:u w:val="single"/>
          <w:lang w:val="en-US" w:eastAsia="zh-CN"/>
        </w:rPr>
        <w:t>8.58</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5.79</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103.76</w:t>
      </w:r>
      <w:r>
        <w:rPr>
          <w:rFonts w:hint="eastAsia" w:ascii="仿宋" w:hAnsi="仿宋" w:eastAsia="仿宋" w:cs="仿宋"/>
          <w:kern w:val="0"/>
          <w:sz w:val="32"/>
          <w:szCs w:val="32"/>
          <w:highlight w:val="none"/>
        </w:rPr>
        <w:t>%。决算数与年初预算数的差异原因：公务员医疗补助</w:t>
      </w:r>
      <w:r>
        <w:rPr>
          <w:rFonts w:hint="eastAsia" w:ascii="仿宋" w:hAnsi="仿宋" w:eastAsia="仿宋" w:cs="仿宋"/>
          <w:kern w:val="0"/>
          <w:sz w:val="32"/>
          <w:szCs w:val="32"/>
          <w:highlight w:val="none"/>
          <w:lang w:eastAsia="zh-CN"/>
        </w:rPr>
        <w:t>本年增加支出</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highlight w:val="cyan"/>
          <w:lang w:val="en-US" w:eastAsia="zh-CN"/>
        </w:rPr>
      </w:pPr>
      <w:r>
        <w:rPr>
          <w:rFonts w:hint="eastAsia" w:ascii="仿宋" w:hAnsi="仿宋" w:eastAsia="仿宋" w:cs="仿宋"/>
          <w:kern w:val="0"/>
          <w:sz w:val="32"/>
          <w:szCs w:val="32"/>
          <w:highlight w:val="none"/>
          <w:lang w:val="en-US" w:eastAsia="zh-CN"/>
        </w:rPr>
        <w:t>3.老龄卫生健康事务（款）老龄卫生健康事务（</w:t>
      </w:r>
      <w:r>
        <w:rPr>
          <w:rFonts w:hint="eastAsia" w:ascii="仿宋" w:hAnsi="仿宋" w:eastAsia="仿宋" w:cs="仿宋"/>
          <w:kern w:val="0"/>
          <w:sz w:val="32"/>
          <w:szCs w:val="32"/>
          <w:highlight w:val="none"/>
        </w:rPr>
        <w:t>项</w:t>
      </w:r>
      <w:r>
        <w:rPr>
          <w:rFonts w:hint="eastAsia" w:ascii="仿宋" w:hAnsi="仿宋" w:eastAsia="仿宋" w:cs="仿宋"/>
          <w:kern w:val="0"/>
          <w:sz w:val="32"/>
          <w:szCs w:val="32"/>
          <w:highlight w:val="none"/>
          <w:lang w:val="en-US" w:eastAsia="zh-CN"/>
        </w:rPr>
        <w:t>）。年初预算200.29万元，支出决算216.9万元，完成年初预算的108.29%。</w:t>
      </w:r>
      <w:r>
        <w:rPr>
          <w:rFonts w:hint="eastAsia" w:ascii="仿宋" w:hAnsi="仿宋" w:eastAsia="仿宋" w:cs="仿宋"/>
          <w:kern w:val="0"/>
          <w:sz w:val="32"/>
          <w:szCs w:val="32"/>
          <w:highlight w:val="none"/>
        </w:rPr>
        <w:t>决算数与年初预算数的差异原因：</w:t>
      </w:r>
      <w:r>
        <w:rPr>
          <w:rFonts w:hint="eastAsia" w:ascii="仿宋" w:hAnsi="仿宋" w:eastAsia="仿宋" w:cs="仿宋"/>
          <w:kern w:val="0"/>
          <w:sz w:val="32"/>
          <w:szCs w:val="32"/>
          <w:highlight w:val="none"/>
          <w:lang w:val="en-US" w:eastAsia="zh-CN"/>
        </w:rPr>
        <w:t>老龄卫生健康事务本年增加支出</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spacing w:before="240" w:after="240" w:line="560" w:lineRule="atLeast"/>
        <w:ind w:firstLine="481"/>
        <w:jc w:val="left"/>
        <w:rPr>
          <w:rFonts w:hint="eastAsia" w:ascii="黑体" w:hAnsi="黑体" w:eastAsia="黑体" w:cs="黑体"/>
          <w:b/>
          <w:bCs/>
          <w:kern w:val="0"/>
          <w:sz w:val="32"/>
          <w:szCs w:val="32"/>
        </w:rPr>
      </w:pPr>
      <w:r>
        <w:rPr>
          <w:rFonts w:hint="eastAsia" w:ascii="黑体" w:hAnsi="黑体" w:eastAsia="黑体" w:cs="黑体"/>
          <w:b/>
          <w:bCs/>
          <w:kern w:val="0"/>
          <w:sz w:val="32"/>
          <w:szCs w:val="32"/>
        </w:rPr>
        <w:t>（</w:t>
      </w:r>
      <w:r>
        <w:rPr>
          <w:rFonts w:hint="eastAsia" w:ascii="黑体" w:hAnsi="黑体" w:eastAsia="黑体" w:cs="黑体"/>
          <w:b/>
          <w:bCs/>
          <w:kern w:val="0"/>
          <w:sz w:val="32"/>
          <w:szCs w:val="32"/>
          <w:lang w:eastAsia="zh-CN"/>
        </w:rPr>
        <w:t>三</w:t>
      </w:r>
      <w:r>
        <w:rPr>
          <w:rFonts w:hint="eastAsia" w:ascii="黑体" w:hAnsi="黑体" w:eastAsia="黑体" w:cs="黑体"/>
          <w:b/>
          <w:bCs/>
          <w:kern w:val="0"/>
          <w:sz w:val="32"/>
          <w:szCs w:val="32"/>
        </w:rPr>
        <w:t>）住房保障支出（类）</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住房保障支出类决算数为</w:t>
      </w:r>
      <w:r>
        <w:rPr>
          <w:rFonts w:hint="eastAsia" w:ascii="仿宋" w:hAnsi="仿宋" w:eastAsia="仿宋" w:cs="仿宋"/>
          <w:kern w:val="0"/>
          <w:sz w:val="32"/>
          <w:szCs w:val="32"/>
          <w:highlight w:val="none"/>
          <w:u w:val="single"/>
        </w:rPr>
        <w:t xml:space="preserve"> 10.98</w:t>
      </w:r>
      <w:r>
        <w:rPr>
          <w:rFonts w:hint="eastAsia" w:ascii="仿宋" w:hAnsi="仿宋" w:eastAsia="仿宋" w:cs="仿宋"/>
          <w:kern w:val="0"/>
          <w:sz w:val="32"/>
          <w:szCs w:val="32"/>
          <w:highlight w:val="none"/>
        </w:rPr>
        <w:t>万元，与年初预算相比增加</w:t>
      </w:r>
      <w:r>
        <w:rPr>
          <w:rFonts w:hint="eastAsia" w:ascii="仿宋" w:hAnsi="仿宋" w:eastAsia="仿宋" w:cs="仿宋"/>
          <w:kern w:val="0"/>
          <w:sz w:val="32"/>
          <w:szCs w:val="32"/>
          <w:highlight w:val="none"/>
          <w:u w:val="single"/>
        </w:rPr>
        <w:t xml:space="preserve"> 0.00</w:t>
      </w:r>
      <w:r>
        <w:rPr>
          <w:rFonts w:hint="eastAsia" w:ascii="仿宋" w:hAnsi="仿宋" w:eastAsia="仿宋" w:cs="仿宋"/>
          <w:kern w:val="0"/>
          <w:sz w:val="32"/>
          <w:szCs w:val="32"/>
          <w:highlight w:val="none"/>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1．住房改革支出（款）住房公积金（项）。年初预算</w:t>
      </w:r>
      <w:r>
        <w:rPr>
          <w:rFonts w:hint="eastAsia" w:ascii="仿宋" w:hAnsi="仿宋" w:eastAsia="仿宋" w:cs="仿宋"/>
          <w:kern w:val="0"/>
          <w:sz w:val="32"/>
          <w:szCs w:val="32"/>
          <w:highlight w:val="none"/>
          <w:u w:val="single"/>
          <w:lang w:val="en-US" w:eastAsia="zh-CN"/>
        </w:rPr>
        <w:t>10.98</w:t>
      </w:r>
      <w:r>
        <w:rPr>
          <w:rFonts w:hint="eastAsia" w:ascii="仿宋" w:hAnsi="仿宋" w:eastAsia="仿宋" w:cs="仿宋"/>
          <w:kern w:val="0"/>
          <w:sz w:val="32"/>
          <w:szCs w:val="32"/>
          <w:highlight w:val="none"/>
        </w:rPr>
        <w:t>万元，支出决算</w:t>
      </w:r>
      <w:r>
        <w:rPr>
          <w:rFonts w:hint="eastAsia" w:ascii="仿宋" w:hAnsi="仿宋" w:eastAsia="仿宋" w:cs="仿宋"/>
          <w:kern w:val="0"/>
          <w:sz w:val="32"/>
          <w:szCs w:val="32"/>
          <w:highlight w:val="none"/>
          <w:u w:val="single"/>
          <w:lang w:val="en-US" w:eastAsia="zh-CN"/>
        </w:rPr>
        <w:t>10.98</w:t>
      </w:r>
      <w:r>
        <w:rPr>
          <w:rFonts w:hint="eastAsia" w:ascii="仿宋" w:hAnsi="仿宋" w:eastAsia="仿宋" w:cs="仿宋"/>
          <w:kern w:val="0"/>
          <w:sz w:val="32"/>
          <w:szCs w:val="32"/>
          <w:highlight w:val="none"/>
        </w:rPr>
        <w:t>万元，完成年初预算的</w:t>
      </w:r>
      <w:r>
        <w:rPr>
          <w:rFonts w:hint="eastAsia" w:ascii="仿宋" w:hAnsi="仿宋" w:eastAsia="仿宋" w:cs="仿宋"/>
          <w:kern w:val="0"/>
          <w:sz w:val="32"/>
          <w:szCs w:val="32"/>
          <w:highlight w:val="none"/>
          <w:u w:val="single"/>
          <w:lang w:val="en-US" w:eastAsia="zh-CN"/>
        </w:rPr>
        <w:t>100</w:t>
      </w:r>
      <w:r>
        <w:rPr>
          <w:rFonts w:hint="eastAsia" w:ascii="仿宋" w:hAnsi="仿宋" w:eastAsia="仿宋" w:cs="仿宋"/>
          <w:kern w:val="0"/>
          <w:sz w:val="32"/>
          <w:szCs w:val="32"/>
          <w:highlight w:val="none"/>
        </w:rPr>
        <w:t>%。决算数与年初预算数的差异原因：</w:t>
      </w:r>
      <w:r>
        <w:rPr>
          <w:rFonts w:hint="eastAsia" w:ascii="仿宋" w:hAnsi="仿宋" w:eastAsia="仿宋" w:cs="仿宋"/>
          <w:kern w:val="0"/>
          <w:sz w:val="32"/>
          <w:szCs w:val="32"/>
          <w:highlight w:val="none"/>
          <w:lang w:eastAsia="zh-CN"/>
        </w:rPr>
        <w:t>无差异</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highlight w:val="none"/>
        </w:rPr>
      </w:pPr>
      <w:r>
        <w:rPr>
          <w:rFonts w:ascii="Calibri" w:hAnsi="Calibri" w:eastAsia="Calibri" w:cs="Calibri"/>
          <w:b/>
          <w:bCs/>
          <w:kern w:val="0"/>
          <w:sz w:val="27"/>
          <w:szCs w:val="27"/>
          <w:highlight w:val="none"/>
        </w:rPr>
        <w:t> </w:t>
      </w:r>
      <w:r>
        <w:rPr>
          <w:rFonts w:ascii="黑体" w:hAnsi="黑体" w:eastAsia="黑体" w:cs="黑体"/>
          <w:b/>
          <w:bCs/>
          <w:kern w:val="0"/>
          <w:sz w:val="27"/>
          <w:szCs w:val="27"/>
          <w:highlight w:val="none"/>
        </w:rPr>
        <w:t xml:space="preserve"> </w:t>
      </w:r>
      <w:r>
        <w:rPr>
          <w:rFonts w:hint="eastAsia" w:ascii="黑体" w:hAnsi="黑体" w:eastAsia="黑体" w:cs="黑体"/>
          <w:b/>
          <w:bCs/>
          <w:kern w:val="0"/>
          <w:sz w:val="32"/>
          <w:szCs w:val="32"/>
          <w:highlight w:val="none"/>
        </w:rPr>
        <w:t>  六、一般公共预算财政拨款基本支出决算情况说明</w:t>
      </w:r>
    </w:p>
    <w:p>
      <w:pPr>
        <w:keepNext w:val="0"/>
        <w:keepLines w:val="0"/>
        <w:pageBreakBefore w:val="0"/>
        <w:widowControl/>
        <w:kinsoku/>
        <w:wordWrap/>
        <w:overflowPunct/>
        <w:topLinePunct w:val="0"/>
        <w:autoSpaceDE/>
        <w:autoSpaceDN/>
        <w:bidi w:val="0"/>
        <w:adjustRightInd w:val="0"/>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2023年度一般公共预算财政拨款基本支出决算</w:t>
      </w:r>
      <w:r>
        <w:rPr>
          <w:rFonts w:hint="eastAsia" w:ascii="仿宋" w:hAnsi="仿宋" w:eastAsia="仿宋" w:cs="仿宋"/>
          <w:kern w:val="0"/>
          <w:sz w:val="32"/>
          <w:szCs w:val="32"/>
          <w:u w:val="single"/>
        </w:rPr>
        <w:t xml:space="preserve"> 189.61</w:t>
      </w:r>
      <w:r>
        <w:rPr>
          <w:rFonts w:hint="eastAsia" w:ascii="仿宋" w:hAnsi="仿宋" w:eastAsia="仿宋" w:cs="仿宋"/>
          <w:kern w:val="0"/>
          <w:sz w:val="32"/>
          <w:szCs w:val="32"/>
        </w:rPr>
        <w:t>万元，其中：</w:t>
      </w:r>
    </w:p>
    <w:p>
      <w:pPr>
        <w:keepNext w:val="0"/>
        <w:keepLines w:val="0"/>
        <w:pageBreakBefore w:val="0"/>
        <w:widowControl/>
        <w:kinsoku/>
        <w:wordWrap/>
        <w:overflowPunct/>
        <w:topLinePunct w:val="0"/>
        <w:autoSpaceDE/>
        <w:autoSpaceDN/>
        <w:bidi w:val="0"/>
        <w:adjustRightInd w:val="0"/>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b w:val="0"/>
          <w:bCs w:val="0"/>
          <w:kern w:val="0"/>
          <w:sz w:val="32"/>
          <w:szCs w:val="32"/>
        </w:rPr>
        <w:t>（一）人员经费</w:t>
      </w:r>
      <w:r>
        <w:rPr>
          <w:rFonts w:hint="eastAsia" w:ascii="仿宋" w:hAnsi="仿宋" w:eastAsia="仿宋" w:cs="仿宋"/>
          <w:b w:val="0"/>
          <w:bCs w:val="0"/>
          <w:kern w:val="0"/>
          <w:sz w:val="32"/>
          <w:szCs w:val="32"/>
          <w:u w:val="single"/>
        </w:rPr>
        <w:t xml:space="preserve"> 174.13</w:t>
      </w:r>
      <w:r>
        <w:rPr>
          <w:rFonts w:hint="eastAsia" w:ascii="仿宋" w:hAnsi="仿宋" w:eastAsia="仿宋" w:cs="仿宋"/>
          <w:b w:val="0"/>
          <w:bCs w:val="0"/>
          <w:kern w:val="0"/>
          <w:sz w:val="32"/>
          <w:szCs w:val="32"/>
        </w:rPr>
        <w:t>万元。</w:t>
      </w:r>
      <w:r>
        <w:rPr>
          <w:rFonts w:hint="eastAsia" w:ascii="仿宋" w:hAnsi="仿宋" w:eastAsia="仿宋" w:cs="仿宋"/>
          <w:kern w:val="0"/>
          <w:sz w:val="32"/>
          <w:szCs w:val="32"/>
        </w:rPr>
        <w:t>主要包括：基本工资</w:t>
      </w:r>
      <w:r>
        <w:rPr>
          <w:rFonts w:hint="eastAsia" w:ascii="仿宋" w:hAnsi="仿宋" w:eastAsia="仿宋" w:cs="仿宋"/>
          <w:kern w:val="0"/>
          <w:sz w:val="32"/>
          <w:szCs w:val="32"/>
          <w:lang w:val="en-US" w:eastAsia="zh-CN"/>
        </w:rPr>
        <w:t>33.36万元</w:t>
      </w:r>
      <w:r>
        <w:rPr>
          <w:rFonts w:hint="eastAsia" w:ascii="仿宋" w:hAnsi="仿宋" w:eastAsia="仿宋" w:cs="仿宋"/>
          <w:kern w:val="0"/>
          <w:sz w:val="32"/>
          <w:szCs w:val="32"/>
        </w:rPr>
        <w:t>、津贴补贴</w:t>
      </w:r>
      <w:r>
        <w:rPr>
          <w:rFonts w:hint="eastAsia" w:ascii="仿宋" w:hAnsi="仿宋" w:eastAsia="仿宋" w:cs="仿宋"/>
          <w:kern w:val="0"/>
          <w:sz w:val="32"/>
          <w:szCs w:val="32"/>
          <w:lang w:val="en-US" w:eastAsia="zh-CN"/>
        </w:rPr>
        <w:t>62.52万元</w:t>
      </w:r>
      <w:r>
        <w:rPr>
          <w:rFonts w:hint="eastAsia" w:ascii="仿宋" w:hAnsi="仿宋" w:eastAsia="仿宋" w:cs="仿宋"/>
          <w:kern w:val="0"/>
          <w:sz w:val="32"/>
          <w:szCs w:val="32"/>
        </w:rPr>
        <w:t>、奖金</w:t>
      </w:r>
      <w:r>
        <w:rPr>
          <w:rFonts w:hint="eastAsia" w:ascii="仿宋" w:hAnsi="仿宋" w:eastAsia="仿宋" w:cs="仿宋"/>
          <w:kern w:val="0"/>
          <w:sz w:val="32"/>
          <w:szCs w:val="32"/>
          <w:lang w:val="en-US" w:eastAsia="zh-CN"/>
        </w:rPr>
        <w:t>10.02万元</w:t>
      </w:r>
      <w:r>
        <w:rPr>
          <w:rFonts w:hint="eastAsia" w:ascii="仿宋" w:hAnsi="仿宋" w:eastAsia="仿宋" w:cs="仿宋"/>
          <w:kern w:val="0"/>
          <w:sz w:val="32"/>
          <w:szCs w:val="32"/>
        </w:rPr>
        <w:t>、社会保障缴费</w:t>
      </w:r>
      <w:r>
        <w:rPr>
          <w:rFonts w:hint="eastAsia" w:ascii="仿宋" w:hAnsi="仿宋" w:eastAsia="仿宋" w:cs="仿宋"/>
          <w:kern w:val="0"/>
          <w:sz w:val="32"/>
          <w:szCs w:val="32"/>
          <w:lang w:val="en-US" w:eastAsia="zh-CN"/>
        </w:rPr>
        <w:t>26.37万元</w:t>
      </w:r>
      <w:r>
        <w:rPr>
          <w:rFonts w:hint="eastAsia" w:ascii="仿宋" w:hAnsi="仿宋" w:eastAsia="仿宋" w:cs="仿宋"/>
          <w:kern w:val="0"/>
          <w:sz w:val="32"/>
          <w:szCs w:val="32"/>
        </w:rPr>
        <w:t>、退休费</w:t>
      </w:r>
      <w:r>
        <w:rPr>
          <w:rFonts w:hint="eastAsia" w:ascii="仿宋" w:hAnsi="仿宋" w:eastAsia="仿宋" w:cs="仿宋"/>
          <w:kern w:val="0"/>
          <w:sz w:val="32"/>
          <w:szCs w:val="32"/>
          <w:lang w:val="en-US" w:eastAsia="zh-CN"/>
        </w:rPr>
        <w:t>9.48万元</w:t>
      </w:r>
      <w:r>
        <w:rPr>
          <w:rFonts w:hint="eastAsia" w:ascii="仿宋" w:hAnsi="仿宋" w:eastAsia="仿宋" w:cs="仿宋"/>
          <w:kern w:val="0"/>
          <w:sz w:val="32"/>
          <w:szCs w:val="32"/>
        </w:rPr>
        <w:t>、抚恤金</w:t>
      </w:r>
      <w:r>
        <w:rPr>
          <w:rFonts w:hint="eastAsia" w:ascii="仿宋" w:hAnsi="仿宋" w:eastAsia="仿宋" w:cs="仿宋"/>
          <w:kern w:val="0"/>
          <w:sz w:val="32"/>
          <w:szCs w:val="32"/>
          <w:lang w:val="en-US" w:eastAsia="zh-CN"/>
        </w:rPr>
        <w:t>21.41万元</w:t>
      </w:r>
      <w:r>
        <w:rPr>
          <w:rFonts w:hint="eastAsia" w:ascii="仿宋" w:hAnsi="仿宋" w:eastAsia="仿宋" w:cs="仿宋"/>
          <w:kern w:val="0"/>
          <w:sz w:val="32"/>
          <w:szCs w:val="32"/>
        </w:rPr>
        <w:t>、住房公积金</w:t>
      </w:r>
      <w:r>
        <w:rPr>
          <w:rFonts w:hint="eastAsia" w:ascii="仿宋" w:hAnsi="仿宋" w:eastAsia="仿宋" w:cs="仿宋"/>
          <w:kern w:val="0"/>
          <w:sz w:val="32"/>
          <w:szCs w:val="32"/>
          <w:lang w:val="en-US" w:eastAsia="zh-CN"/>
        </w:rPr>
        <w:t>10.98万元</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val="0"/>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b w:val="0"/>
          <w:bCs w:val="0"/>
          <w:kern w:val="0"/>
          <w:sz w:val="32"/>
          <w:szCs w:val="32"/>
        </w:rPr>
        <w:t>（二）公用经费</w:t>
      </w:r>
      <w:r>
        <w:rPr>
          <w:rFonts w:hint="eastAsia" w:ascii="仿宋" w:hAnsi="仿宋" w:eastAsia="仿宋" w:cs="仿宋"/>
          <w:b w:val="0"/>
          <w:bCs w:val="0"/>
          <w:kern w:val="0"/>
          <w:sz w:val="32"/>
          <w:szCs w:val="32"/>
          <w:u w:val="single"/>
        </w:rPr>
        <w:t xml:space="preserve"> 15.48</w:t>
      </w:r>
      <w:r>
        <w:rPr>
          <w:rFonts w:hint="eastAsia" w:ascii="仿宋" w:hAnsi="仿宋" w:eastAsia="仿宋" w:cs="仿宋"/>
          <w:b w:val="0"/>
          <w:bCs w:val="0"/>
          <w:kern w:val="0"/>
          <w:sz w:val="32"/>
          <w:szCs w:val="32"/>
        </w:rPr>
        <w:t>万元。</w:t>
      </w:r>
      <w:r>
        <w:rPr>
          <w:rFonts w:hint="eastAsia" w:ascii="仿宋" w:hAnsi="仿宋" w:eastAsia="仿宋" w:cs="仿宋"/>
          <w:kern w:val="0"/>
          <w:sz w:val="32"/>
          <w:szCs w:val="32"/>
        </w:rPr>
        <w:t>主要包括</w:t>
      </w:r>
      <w:r>
        <w:rPr>
          <w:rFonts w:hint="eastAsia" w:ascii="仿宋" w:hAnsi="仿宋" w:eastAsia="仿宋" w:cs="仿宋"/>
          <w:kern w:val="0"/>
          <w:sz w:val="32"/>
          <w:szCs w:val="32"/>
          <w:highlight w:val="none"/>
        </w:rPr>
        <w:t>：办公费</w:t>
      </w:r>
      <w:r>
        <w:rPr>
          <w:rFonts w:hint="eastAsia" w:ascii="仿宋" w:hAnsi="仿宋" w:eastAsia="仿宋" w:cs="仿宋"/>
          <w:kern w:val="0"/>
          <w:sz w:val="32"/>
          <w:szCs w:val="32"/>
          <w:highlight w:val="none"/>
          <w:lang w:val="en-US" w:eastAsia="zh-CN"/>
        </w:rPr>
        <w:t>1万元</w:t>
      </w:r>
      <w:r>
        <w:rPr>
          <w:rFonts w:hint="eastAsia" w:ascii="仿宋" w:hAnsi="仿宋" w:eastAsia="仿宋" w:cs="仿宋"/>
          <w:kern w:val="0"/>
          <w:sz w:val="32"/>
          <w:szCs w:val="32"/>
          <w:highlight w:val="none"/>
        </w:rPr>
        <w:t>、邮电费</w:t>
      </w:r>
      <w:r>
        <w:rPr>
          <w:rFonts w:hint="eastAsia" w:ascii="仿宋" w:hAnsi="仿宋" w:eastAsia="仿宋" w:cs="仿宋"/>
          <w:kern w:val="0"/>
          <w:sz w:val="32"/>
          <w:szCs w:val="32"/>
          <w:highlight w:val="none"/>
          <w:lang w:val="en-US" w:eastAsia="zh-CN"/>
        </w:rPr>
        <w:t>0.95万元</w:t>
      </w:r>
      <w:r>
        <w:rPr>
          <w:rFonts w:hint="eastAsia" w:ascii="仿宋" w:hAnsi="仿宋" w:eastAsia="仿宋" w:cs="仿宋"/>
          <w:kern w:val="0"/>
          <w:sz w:val="32"/>
          <w:szCs w:val="32"/>
          <w:highlight w:val="none"/>
        </w:rPr>
        <w:t>、差旅费</w:t>
      </w:r>
      <w:r>
        <w:rPr>
          <w:rFonts w:hint="eastAsia" w:ascii="仿宋" w:hAnsi="仿宋" w:eastAsia="仿宋" w:cs="仿宋"/>
          <w:kern w:val="0"/>
          <w:sz w:val="32"/>
          <w:szCs w:val="32"/>
          <w:highlight w:val="none"/>
          <w:lang w:val="en-US" w:eastAsia="zh-CN"/>
        </w:rPr>
        <w:t>1万元</w:t>
      </w:r>
      <w:r>
        <w:rPr>
          <w:rFonts w:hint="eastAsia" w:ascii="仿宋" w:hAnsi="仿宋" w:eastAsia="仿宋" w:cs="仿宋"/>
          <w:kern w:val="0"/>
          <w:sz w:val="32"/>
          <w:szCs w:val="32"/>
          <w:highlight w:val="none"/>
        </w:rPr>
        <w:t>、培训费</w:t>
      </w:r>
      <w:r>
        <w:rPr>
          <w:rFonts w:hint="eastAsia" w:ascii="仿宋" w:hAnsi="仿宋" w:eastAsia="仿宋" w:cs="仿宋"/>
          <w:kern w:val="0"/>
          <w:sz w:val="32"/>
          <w:szCs w:val="32"/>
          <w:highlight w:val="none"/>
          <w:lang w:val="en-US" w:eastAsia="zh-CN"/>
        </w:rPr>
        <w:t>1.45万元</w:t>
      </w:r>
      <w:r>
        <w:rPr>
          <w:rFonts w:hint="eastAsia" w:ascii="仿宋" w:hAnsi="仿宋" w:eastAsia="仿宋" w:cs="仿宋"/>
          <w:kern w:val="0"/>
          <w:sz w:val="32"/>
          <w:szCs w:val="32"/>
          <w:highlight w:val="none"/>
        </w:rPr>
        <w:t>、工会经费</w:t>
      </w:r>
      <w:r>
        <w:rPr>
          <w:rFonts w:hint="eastAsia" w:ascii="仿宋" w:hAnsi="仿宋" w:eastAsia="仿宋" w:cs="仿宋"/>
          <w:kern w:val="0"/>
          <w:sz w:val="32"/>
          <w:szCs w:val="32"/>
          <w:highlight w:val="none"/>
          <w:lang w:val="en-US" w:eastAsia="zh-CN"/>
        </w:rPr>
        <w:t>1.78万元</w:t>
      </w:r>
      <w:r>
        <w:rPr>
          <w:rFonts w:hint="eastAsia" w:ascii="仿宋" w:hAnsi="仿宋" w:eastAsia="仿宋" w:cs="仿宋"/>
          <w:kern w:val="0"/>
          <w:sz w:val="32"/>
          <w:szCs w:val="32"/>
          <w:highlight w:val="none"/>
        </w:rPr>
        <w:t>、福利费</w:t>
      </w:r>
      <w:r>
        <w:rPr>
          <w:rFonts w:hint="eastAsia" w:ascii="仿宋" w:hAnsi="仿宋" w:eastAsia="仿宋" w:cs="仿宋"/>
          <w:kern w:val="0"/>
          <w:sz w:val="32"/>
          <w:szCs w:val="32"/>
          <w:highlight w:val="none"/>
          <w:lang w:val="en-US" w:eastAsia="zh-CN"/>
        </w:rPr>
        <w:t>2.22万元</w:t>
      </w:r>
      <w:r>
        <w:rPr>
          <w:rFonts w:hint="eastAsia" w:ascii="仿宋" w:hAnsi="仿宋" w:eastAsia="仿宋" w:cs="仿宋"/>
          <w:kern w:val="0"/>
          <w:sz w:val="32"/>
          <w:szCs w:val="32"/>
          <w:highlight w:val="none"/>
        </w:rPr>
        <w:t>、其他交通费用</w:t>
      </w:r>
      <w:r>
        <w:rPr>
          <w:rFonts w:hint="eastAsia" w:ascii="仿宋" w:hAnsi="仿宋" w:eastAsia="仿宋" w:cs="仿宋"/>
          <w:kern w:val="0"/>
          <w:sz w:val="32"/>
          <w:szCs w:val="32"/>
          <w:highlight w:val="none"/>
          <w:lang w:val="en-US" w:eastAsia="zh-CN"/>
        </w:rPr>
        <w:t>7.08万元</w:t>
      </w:r>
      <w:r>
        <w:rPr>
          <w:rFonts w:hint="eastAsia" w:ascii="仿宋" w:hAnsi="仿宋" w:eastAsia="仿宋" w:cs="仿宋"/>
          <w:kern w:val="0"/>
          <w:sz w:val="32"/>
          <w:szCs w:val="32"/>
          <w:highlight w:val="none"/>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七、一般公共预算财政拨款项目支出决算情况说明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2023年度一般公共预算财政拨款项目支出决算</w:t>
      </w:r>
      <w:r>
        <w:rPr>
          <w:rFonts w:hint="eastAsia" w:ascii="仿宋" w:hAnsi="仿宋" w:eastAsia="仿宋" w:cs="仿宋"/>
          <w:kern w:val="0"/>
          <w:sz w:val="32"/>
          <w:szCs w:val="32"/>
          <w:u w:val="single"/>
        </w:rPr>
        <w:t xml:space="preserve"> 95.35</w:t>
      </w:r>
      <w:r>
        <w:rPr>
          <w:rFonts w:hint="eastAsia" w:ascii="仿宋" w:hAnsi="仿宋" w:eastAsia="仿宋" w:cs="仿宋"/>
          <w:kern w:val="0"/>
          <w:sz w:val="32"/>
          <w:szCs w:val="32"/>
        </w:rPr>
        <w:t>万元，其中：</w:t>
      </w:r>
    </w:p>
    <w:p>
      <w:pPr>
        <w:keepNext w:val="0"/>
        <w:keepLines w:val="0"/>
        <w:pageBreakBefore w:val="0"/>
        <w:widowControl/>
        <w:numPr>
          <w:ilvl w:val="0"/>
          <w:numId w:val="0"/>
        </w:numPr>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lang w:val="en-US" w:eastAsia="zh-CN" w:bidi="ar-SA"/>
        </w:rPr>
        <w:t>（一）</w:t>
      </w:r>
      <w:r>
        <w:rPr>
          <w:rFonts w:hint="eastAsia" w:ascii="仿宋" w:hAnsi="仿宋" w:eastAsia="仿宋" w:cs="仿宋"/>
          <w:b w:val="0"/>
          <w:bCs w:val="0"/>
          <w:kern w:val="0"/>
          <w:sz w:val="32"/>
          <w:szCs w:val="32"/>
        </w:rPr>
        <w:t>商品和服务支出</w:t>
      </w:r>
      <w:r>
        <w:rPr>
          <w:rFonts w:hint="eastAsia" w:ascii="仿宋" w:hAnsi="仿宋" w:eastAsia="仿宋" w:cs="仿宋"/>
          <w:b w:val="0"/>
          <w:bCs w:val="0"/>
          <w:kern w:val="0"/>
          <w:sz w:val="32"/>
          <w:szCs w:val="32"/>
          <w:u w:val="single"/>
        </w:rPr>
        <w:t xml:space="preserve"> 92.69</w:t>
      </w:r>
      <w:r>
        <w:rPr>
          <w:rFonts w:hint="eastAsia" w:ascii="仿宋" w:hAnsi="仿宋" w:eastAsia="仿宋" w:cs="仿宋"/>
          <w:b w:val="0"/>
          <w:bCs w:val="0"/>
          <w:kern w:val="0"/>
          <w:sz w:val="32"/>
          <w:szCs w:val="32"/>
        </w:rPr>
        <w:t>万元。主要包括：办公费</w:t>
      </w:r>
      <w:r>
        <w:rPr>
          <w:rFonts w:hint="eastAsia" w:ascii="仿宋" w:hAnsi="仿宋" w:eastAsia="仿宋" w:cs="仿宋"/>
          <w:b w:val="0"/>
          <w:bCs w:val="0"/>
          <w:kern w:val="0"/>
          <w:sz w:val="32"/>
          <w:szCs w:val="32"/>
          <w:lang w:val="en-US" w:eastAsia="zh-CN"/>
        </w:rPr>
        <w:t>6.5万元</w:t>
      </w:r>
      <w:r>
        <w:rPr>
          <w:rFonts w:hint="eastAsia" w:ascii="仿宋" w:hAnsi="仿宋" w:eastAsia="仿宋" w:cs="仿宋"/>
          <w:b w:val="0"/>
          <w:bCs w:val="0"/>
          <w:kern w:val="0"/>
          <w:sz w:val="32"/>
          <w:szCs w:val="32"/>
        </w:rPr>
        <w:t>、印刷费</w:t>
      </w:r>
      <w:r>
        <w:rPr>
          <w:rFonts w:hint="eastAsia" w:ascii="仿宋" w:hAnsi="仿宋" w:eastAsia="仿宋" w:cs="仿宋"/>
          <w:b w:val="0"/>
          <w:bCs w:val="0"/>
          <w:kern w:val="0"/>
          <w:sz w:val="32"/>
          <w:szCs w:val="32"/>
          <w:lang w:val="en-US" w:eastAsia="zh-CN"/>
        </w:rPr>
        <w:t>5万元</w:t>
      </w:r>
      <w:r>
        <w:rPr>
          <w:rFonts w:hint="eastAsia" w:ascii="仿宋" w:hAnsi="仿宋" w:eastAsia="仿宋" w:cs="仿宋"/>
          <w:b w:val="0"/>
          <w:bCs w:val="0"/>
          <w:kern w:val="0"/>
          <w:sz w:val="32"/>
          <w:szCs w:val="32"/>
        </w:rPr>
        <w:t>、差旅费</w:t>
      </w:r>
      <w:r>
        <w:rPr>
          <w:rFonts w:hint="eastAsia" w:ascii="仿宋" w:hAnsi="仿宋" w:eastAsia="仿宋" w:cs="仿宋"/>
          <w:b w:val="0"/>
          <w:bCs w:val="0"/>
          <w:kern w:val="0"/>
          <w:sz w:val="32"/>
          <w:szCs w:val="32"/>
          <w:lang w:val="en-US" w:eastAsia="zh-CN"/>
        </w:rPr>
        <w:t>9.99万元</w:t>
      </w:r>
      <w:r>
        <w:rPr>
          <w:rFonts w:hint="eastAsia" w:ascii="仿宋" w:hAnsi="仿宋" w:eastAsia="仿宋" w:cs="仿宋"/>
          <w:b w:val="0"/>
          <w:bCs w:val="0"/>
          <w:kern w:val="0"/>
          <w:sz w:val="32"/>
          <w:szCs w:val="32"/>
        </w:rPr>
        <w:t>、培训费</w:t>
      </w:r>
      <w:r>
        <w:rPr>
          <w:rFonts w:hint="eastAsia" w:ascii="仿宋" w:hAnsi="仿宋" w:eastAsia="仿宋" w:cs="仿宋"/>
          <w:b w:val="0"/>
          <w:bCs w:val="0"/>
          <w:kern w:val="0"/>
          <w:sz w:val="32"/>
          <w:szCs w:val="32"/>
          <w:lang w:val="en-US" w:eastAsia="zh-CN"/>
        </w:rPr>
        <w:t>13.46万元</w:t>
      </w:r>
      <w:r>
        <w:rPr>
          <w:rFonts w:hint="eastAsia" w:ascii="仿宋" w:hAnsi="仿宋" w:eastAsia="仿宋" w:cs="仿宋"/>
          <w:b w:val="0"/>
          <w:bCs w:val="0"/>
          <w:kern w:val="0"/>
          <w:sz w:val="32"/>
          <w:szCs w:val="32"/>
        </w:rPr>
        <w:t>、委托业务费</w:t>
      </w:r>
      <w:r>
        <w:rPr>
          <w:rFonts w:hint="eastAsia" w:ascii="仿宋" w:hAnsi="仿宋" w:eastAsia="仿宋" w:cs="仿宋"/>
          <w:b w:val="0"/>
          <w:bCs w:val="0"/>
          <w:kern w:val="0"/>
          <w:sz w:val="32"/>
          <w:szCs w:val="32"/>
          <w:lang w:val="en-US" w:eastAsia="zh-CN"/>
        </w:rPr>
        <w:t>57.74万元</w:t>
      </w:r>
      <w:r>
        <w:rPr>
          <w:rFonts w:hint="eastAsia" w:ascii="仿宋" w:hAnsi="仿宋" w:eastAsia="仿宋" w:cs="仿宋"/>
          <w:b w:val="0"/>
          <w:bCs w:val="0"/>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b w:val="0"/>
          <w:bCs w:val="0"/>
          <w:kern w:val="0"/>
          <w:sz w:val="32"/>
          <w:szCs w:val="32"/>
          <w:lang w:eastAsia="zh-CN"/>
        </w:rPr>
        <w:t>（二）资本性支出</w:t>
      </w:r>
      <w:r>
        <w:rPr>
          <w:rFonts w:hint="eastAsia" w:ascii="仿宋" w:hAnsi="仿宋" w:eastAsia="仿宋" w:cs="仿宋"/>
          <w:b w:val="0"/>
          <w:bCs w:val="0"/>
          <w:kern w:val="0"/>
          <w:sz w:val="32"/>
          <w:szCs w:val="32"/>
          <w:u w:val="single"/>
          <w:lang w:val="en-US"/>
        </w:rPr>
        <w:t>2.6</w:t>
      </w:r>
      <w:r>
        <w:rPr>
          <w:rFonts w:hint="eastAsia" w:ascii="仿宋" w:hAnsi="仿宋" w:eastAsia="仿宋" w:cs="仿宋"/>
          <w:b w:val="0"/>
          <w:bCs w:val="0"/>
          <w:kern w:val="0"/>
          <w:sz w:val="32"/>
          <w:szCs w:val="32"/>
          <w:u w:val="single"/>
          <w:lang w:val="en-US" w:eastAsia="zh-CN"/>
        </w:rPr>
        <w:t>6</w:t>
      </w:r>
      <w:r>
        <w:rPr>
          <w:rFonts w:hint="eastAsia" w:ascii="仿宋" w:hAnsi="仿宋" w:eastAsia="仿宋" w:cs="仿宋"/>
          <w:b w:val="0"/>
          <w:bCs w:val="0"/>
          <w:kern w:val="0"/>
          <w:sz w:val="32"/>
          <w:szCs w:val="32"/>
          <w:lang w:eastAsia="zh-CN"/>
        </w:rPr>
        <w:t>万元。主要包括：办公设备购置</w:t>
      </w:r>
      <w:r>
        <w:rPr>
          <w:rFonts w:hint="eastAsia" w:ascii="仿宋" w:hAnsi="仿宋" w:eastAsia="仿宋" w:cs="仿宋"/>
          <w:b w:val="0"/>
          <w:bCs w:val="0"/>
          <w:kern w:val="0"/>
          <w:sz w:val="32"/>
          <w:szCs w:val="32"/>
          <w:lang w:val="en-US" w:eastAsia="zh-CN"/>
        </w:rPr>
        <w:t>2.66万元</w:t>
      </w:r>
      <w:r>
        <w:rPr>
          <w:rFonts w:hint="eastAsia" w:ascii="仿宋" w:hAnsi="仿宋" w:eastAsia="仿宋" w:cs="仿宋"/>
          <w:b w:val="0"/>
          <w:bCs w:val="0"/>
          <w:kern w:val="0"/>
          <w:sz w:val="32"/>
          <w:szCs w:val="32"/>
          <w:lang w:eastAsia="zh-CN"/>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八、财政拨款“三公”经费支出决算情况说明</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hint="eastAsia" w:ascii="黑体" w:hAnsi="黑体" w:eastAsia="黑体" w:cs="黑体"/>
          <w:b/>
          <w:bCs/>
          <w:kern w:val="0"/>
          <w:sz w:val="32"/>
          <w:szCs w:val="32"/>
        </w:rPr>
        <w:t>    （一）财政拨款“三公”经费支出总体情况说明。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2023年度财政拨款“三公”经费全年预算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%。其中：因公出国（境）费全年预算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%；公务用车购置及运行维护费全年预算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%；公务接待费全年预算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%。2023年度一般公共预算财政拨款“三公”</w:t>
      </w:r>
      <w:r>
        <w:rPr>
          <w:rFonts w:hint="eastAsia" w:ascii="仿宋" w:hAnsi="仿宋" w:eastAsia="仿宋" w:cs="仿宋"/>
          <w:sz w:val="32"/>
          <w:szCs w:val="32"/>
          <w:lang w:eastAsia="zh-CN"/>
        </w:rPr>
        <w:t>经费支出决算与预算无差异</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kai_ti_gb2312" w:hAnsi="kai_ti_gb2312" w:eastAsia="kai_ti_gb2312" w:cs="kai_ti_gb2312"/>
          <w:b/>
          <w:bCs/>
          <w:kern w:val="0"/>
          <w:sz w:val="27"/>
          <w:szCs w:val="27"/>
        </w:rPr>
        <w:t>   </w:t>
      </w:r>
      <w:r>
        <w:rPr>
          <w:rFonts w:hint="eastAsia" w:ascii="黑体" w:hAnsi="黑体" w:eastAsia="黑体" w:cs="黑体"/>
          <w:b/>
          <w:bCs/>
          <w:kern w:val="0"/>
          <w:sz w:val="32"/>
          <w:szCs w:val="32"/>
        </w:rPr>
        <w:t xml:space="preserve"> （二）财政拨款“三公”经费支出具体情况说明。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2023年度财政拨款“三公”经费支出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万元。因公出国（境）费支出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%；公务用车购置及运行维护费支出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%；公务接待费支出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1.因公出国（境）费支出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万元，全年出国（境）团组</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个，累计</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人次。与上年决算相比</w:t>
      </w:r>
      <w:r>
        <w:rPr>
          <w:rFonts w:hint="eastAsia" w:ascii="仿宋" w:hAnsi="仿宋" w:eastAsia="仿宋" w:cs="仿宋"/>
          <w:kern w:val="0"/>
          <w:sz w:val="32"/>
          <w:szCs w:val="32"/>
          <w:lang w:eastAsia="zh-CN"/>
        </w:rPr>
        <w:t>，无变动</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2.公务用车购置及运行维护费支出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（1）公务用车购置支出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万元。本年度使用财政拨款购置公务用车</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辆，与上年决算相比</w:t>
      </w:r>
      <w:r>
        <w:rPr>
          <w:rFonts w:hint="eastAsia" w:ascii="仿宋" w:hAnsi="仿宋" w:eastAsia="仿宋" w:cs="仿宋"/>
          <w:kern w:val="0"/>
          <w:sz w:val="32"/>
          <w:szCs w:val="32"/>
          <w:lang w:eastAsia="zh-CN"/>
        </w:rPr>
        <w:t>，无变动</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（2）公务用车运行维护费支出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万元。公务用车运行维护费主要用于按规定保留的公务用车的燃料费、维修费、过桥过路费、保险费、安全奖励费用等支出。截至2023年12月31日，使用财政拨款开支的公务用车保有量为</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辆。与上年决算相比</w:t>
      </w:r>
      <w:r>
        <w:rPr>
          <w:rFonts w:hint="eastAsia" w:ascii="仿宋" w:hAnsi="仿宋" w:eastAsia="仿宋" w:cs="仿宋"/>
          <w:kern w:val="0"/>
          <w:sz w:val="32"/>
          <w:szCs w:val="32"/>
          <w:lang w:eastAsia="zh-CN"/>
        </w:rPr>
        <w:t>，无变动</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3.公务接待费支出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万元。其中：国内公务接待支出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万元，接待</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批次，</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人次；国（境）外公务接待支出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万元，接待</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批次，</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人次</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与上年决算相比</w:t>
      </w:r>
      <w:r>
        <w:rPr>
          <w:rFonts w:hint="eastAsia" w:ascii="仿宋" w:hAnsi="仿宋" w:eastAsia="仿宋" w:cs="仿宋"/>
          <w:kern w:val="0"/>
          <w:sz w:val="32"/>
          <w:szCs w:val="32"/>
          <w:lang w:eastAsia="zh-CN"/>
        </w:rPr>
        <w:t>，无变动</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九、政府性基金预算财政拨款支出决算情况说明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ascii="Times New Roman" w:hAnsi="Times New Roman" w:eastAsia="Times New Roman" w:cs="Times New Roman"/>
          <w:kern w:val="0"/>
          <w:sz w:val="24"/>
        </w:rPr>
      </w:pPr>
      <w:r>
        <w:rPr>
          <w:rFonts w:hint="eastAsia" w:ascii="仿宋" w:hAnsi="仿宋" w:eastAsia="仿宋" w:cs="仿宋"/>
          <w:kern w:val="0"/>
          <w:sz w:val="32"/>
          <w:szCs w:val="32"/>
        </w:rPr>
        <w:t>内蒙古自治区老龄工作委员会办公室 2023年度政府性基金预算财政拨款支出决算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万元。与上年决算相比，</w:t>
      </w:r>
      <w:r>
        <w:rPr>
          <w:rFonts w:hint="eastAsia" w:ascii="仿宋" w:hAnsi="仿宋" w:eastAsia="仿宋" w:cs="仿宋"/>
          <w:sz w:val="32"/>
          <w:szCs w:val="32"/>
          <w:lang w:eastAsia="zh-CN"/>
        </w:rPr>
        <w:t>无变动。本单位无政府性基金预算财政拨款收、支、余。</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rPr>
        <w:t>十、国有资本经营预算财政拨款支出决算情况说明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2023年度国有资本经营预算财政拨款支出决算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w:t>
      </w:r>
      <w:r>
        <w:rPr>
          <w:rFonts w:hint="eastAsia" w:ascii="仿宋" w:hAnsi="仿宋" w:eastAsia="仿宋" w:cs="仿宋"/>
          <w:sz w:val="32"/>
          <w:szCs w:val="32"/>
          <w:lang w:eastAsia="zh-CN"/>
        </w:rPr>
        <w:t>与上年决算相比，无变动。本单位无国有资本经营预算财政拨款收、支、余。</w:t>
      </w:r>
    </w:p>
    <w:p>
      <w:pPr>
        <w:keepNext w:val="0"/>
        <w:keepLines w:val="0"/>
        <w:pageBreakBefore w:val="0"/>
        <w:widowControl/>
        <w:kinsoku/>
        <w:wordWrap/>
        <w:overflowPunct/>
        <w:topLinePunct w:val="0"/>
        <w:autoSpaceDE/>
        <w:autoSpaceDN/>
        <w:bidi w:val="0"/>
        <w:spacing w:before="240" w:after="240" w:line="560" w:lineRule="atLeast"/>
        <w:rPr>
          <w:rFonts w:hint="eastAsia" w:ascii="黑体" w:hAnsi="黑体" w:eastAsia="黑体" w:cs="黑体"/>
          <w:kern w:val="0"/>
          <w:sz w:val="32"/>
          <w:szCs w:val="32"/>
        </w:rPr>
      </w:pP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十一、机构运行经费支出决算情况说明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2023年度机构运行经费支出决算</w:t>
      </w:r>
      <w:r>
        <w:rPr>
          <w:rFonts w:hint="eastAsia" w:ascii="仿宋" w:hAnsi="仿宋" w:eastAsia="仿宋" w:cs="仿宋"/>
          <w:kern w:val="0"/>
          <w:sz w:val="32"/>
          <w:szCs w:val="32"/>
          <w:u w:val="single"/>
        </w:rPr>
        <w:t xml:space="preserve"> 15.48</w:t>
      </w:r>
      <w:r>
        <w:rPr>
          <w:rFonts w:hint="eastAsia" w:ascii="仿宋" w:hAnsi="仿宋" w:eastAsia="仿宋" w:cs="仿宋"/>
          <w:kern w:val="0"/>
          <w:sz w:val="32"/>
          <w:szCs w:val="32"/>
        </w:rPr>
        <w:t>万元。比上年决算相比，增加</w:t>
      </w:r>
      <w:r>
        <w:rPr>
          <w:rFonts w:hint="eastAsia" w:ascii="仿宋" w:hAnsi="仿宋" w:eastAsia="仿宋" w:cs="仿宋"/>
          <w:kern w:val="0"/>
          <w:sz w:val="32"/>
          <w:szCs w:val="32"/>
          <w:u w:val="single"/>
        </w:rPr>
        <w:t xml:space="preserve"> 6.71</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76.58</w:t>
      </w:r>
      <w:r>
        <w:rPr>
          <w:rFonts w:hint="eastAsia" w:ascii="仿宋" w:hAnsi="仿宋" w:eastAsia="仿宋" w:cs="仿宋"/>
          <w:kern w:val="0"/>
          <w:sz w:val="32"/>
          <w:szCs w:val="32"/>
        </w:rPr>
        <w:t>%，变动原因：原因为22年9月新录用人员4人，增加率100%，现共计8人。22年未增加公用经费，于23年增加。</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ascii="黑体" w:hAnsi="黑体" w:eastAsia="黑体" w:cs="黑体"/>
          <w:b/>
          <w:bCs/>
          <w:kern w:val="0"/>
          <w:sz w:val="32"/>
          <w:szCs w:val="32"/>
        </w:rPr>
        <w:t xml:space="preserve"> 十二、政府采购支出决算情况说明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2023年度政府采购支出总额</w:t>
      </w:r>
      <w:r>
        <w:rPr>
          <w:rFonts w:hint="eastAsia" w:ascii="仿宋" w:hAnsi="仿宋" w:eastAsia="仿宋" w:cs="仿宋"/>
          <w:kern w:val="0"/>
          <w:sz w:val="32"/>
          <w:szCs w:val="32"/>
          <w:u w:val="single"/>
        </w:rPr>
        <w:t xml:space="preserve"> 7.66</w:t>
      </w:r>
      <w:r>
        <w:rPr>
          <w:rFonts w:hint="eastAsia" w:ascii="仿宋" w:hAnsi="仿宋" w:eastAsia="仿宋" w:cs="仿宋"/>
          <w:kern w:val="0"/>
          <w:sz w:val="32"/>
          <w:szCs w:val="32"/>
        </w:rPr>
        <w:t>万元，其中：政府采购货物支出</w:t>
      </w:r>
      <w:r>
        <w:rPr>
          <w:rFonts w:hint="eastAsia" w:ascii="仿宋" w:hAnsi="仿宋" w:eastAsia="仿宋" w:cs="仿宋"/>
          <w:kern w:val="0"/>
          <w:sz w:val="32"/>
          <w:szCs w:val="32"/>
          <w:u w:val="single"/>
        </w:rPr>
        <w:t xml:space="preserve"> 2.66</w:t>
      </w:r>
      <w:r>
        <w:rPr>
          <w:rFonts w:hint="eastAsia" w:ascii="仿宋" w:hAnsi="仿宋" w:eastAsia="仿宋" w:cs="仿宋"/>
          <w:kern w:val="0"/>
          <w:sz w:val="32"/>
          <w:szCs w:val="32"/>
        </w:rPr>
        <w:t>万元、政府采购工程支出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万元、政府采购服务支出</w:t>
      </w:r>
      <w:r>
        <w:rPr>
          <w:rFonts w:hint="eastAsia" w:ascii="仿宋" w:hAnsi="仿宋" w:eastAsia="仿宋" w:cs="仿宋"/>
          <w:kern w:val="0"/>
          <w:sz w:val="32"/>
          <w:szCs w:val="32"/>
          <w:u w:val="single"/>
        </w:rPr>
        <w:t xml:space="preserve"> 5.00</w:t>
      </w:r>
      <w:r>
        <w:rPr>
          <w:rFonts w:hint="eastAsia" w:ascii="仿宋" w:hAnsi="仿宋" w:eastAsia="仿宋" w:cs="仿宋"/>
          <w:kern w:val="0"/>
          <w:sz w:val="32"/>
          <w:szCs w:val="32"/>
        </w:rPr>
        <w:t>万元。政府采购授予中小企业合同金额</w:t>
      </w:r>
      <w:r>
        <w:rPr>
          <w:rFonts w:hint="eastAsia" w:ascii="仿宋" w:hAnsi="仿宋" w:eastAsia="仿宋" w:cs="仿宋"/>
          <w:kern w:val="0"/>
          <w:sz w:val="32"/>
          <w:szCs w:val="32"/>
          <w:u w:val="single"/>
        </w:rPr>
        <w:t xml:space="preserve"> 2.56</w:t>
      </w:r>
      <w:r>
        <w:rPr>
          <w:rFonts w:hint="eastAsia" w:ascii="仿宋" w:hAnsi="仿宋" w:eastAsia="仿宋" w:cs="仿宋"/>
          <w:kern w:val="0"/>
          <w:sz w:val="32"/>
          <w:szCs w:val="32"/>
        </w:rPr>
        <w:t>万元，占政府采购支出总额的</w:t>
      </w:r>
      <w:r>
        <w:rPr>
          <w:rFonts w:hint="eastAsia" w:ascii="仿宋" w:hAnsi="仿宋" w:eastAsia="仿宋" w:cs="仿宋"/>
          <w:kern w:val="0"/>
          <w:sz w:val="32"/>
          <w:szCs w:val="32"/>
          <w:u w:val="single"/>
          <w:lang w:val="en-US" w:eastAsia="zh-CN"/>
        </w:rPr>
        <w:t>33.42</w:t>
      </w:r>
      <w:r>
        <w:rPr>
          <w:rFonts w:hint="eastAsia" w:ascii="仿宋" w:hAnsi="仿宋" w:eastAsia="仿宋" w:cs="仿宋"/>
          <w:kern w:val="0"/>
          <w:sz w:val="32"/>
          <w:szCs w:val="32"/>
        </w:rPr>
        <w:t>%，其中：授予小微企业合同金额</w:t>
      </w:r>
      <w:r>
        <w:rPr>
          <w:rFonts w:hint="eastAsia" w:ascii="仿宋" w:hAnsi="仿宋" w:eastAsia="仿宋" w:cs="仿宋"/>
          <w:kern w:val="0"/>
          <w:sz w:val="32"/>
          <w:szCs w:val="32"/>
          <w:u w:val="single"/>
        </w:rPr>
        <w:t>  2.56</w:t>
      </w:r>
      <w:r>
        <w:rPr>
          <w:rFonts w:hint="eastAsia" w:ascii="仿宋" w:hAnsi="仿宋" w:eastAsia="仿宋" w:cs="仿宋"/>
          <w:kern w:val="0"/>
          <w:sz w:val="32"/>
          <w:szCs w:val="32"/>
        </w:rPr>
        <w:t>万元，占政府采购支出总额的</w:t>
      </w:r>
      <w:r>
        <w:rPr>
          <w:rFonts w:hint="eastAsia" w:ascii="仿宋" w:hAnsi="仿宋" w:eastAsia="仿宋" w:cs="仿宋"/>
          <w:kern w:val="0"/>
          <w:sz w:val="32"/>
          <w:szCs w:val="32"/>
          <w:u w:val="single"/>
          <w:lang w:val="en-US" w:eastAsia="zh-CN"/>
        </w:rPr>
        <w:t>33.42%</w:t>
      </w:r>
      <w:r>
        <w:rPr>
          <w:rFonts w:hint="eastAsia" w:ascii="仿宋" w:hAnsi="仿宋" w:eastAsia="仿宋" w:cs="仿宋"/>
          <w:kern w:val="0"/>
          <w:sz w:val="32"/>
          <w:szCs w:val="32"/>
        </w:rPr>
        <w:t>；货物采购授予中小企业合同金额占货物支出金额的</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%，工程采购授予中小企业合同金额占工程支出金额的</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%，服务采购授予中小企业合同金额占服务支出金额的</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rPr>
        <w:t>十三、国有资产占用情况说明</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截至2023年12月31日，本单位共有车辆</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辆，其中：副部（省）级及以上领导用车</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辆、主要负责人用车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辆、机要通信用车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辆、应急保障用车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辆、执法执勤用车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辆、特种专业技术用车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辆、离退休干部服务用车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辆，其他用车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辆；单价100万元（含）以上的设备（不含车辆）</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台（套）。</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rPr>
        <w:t>十四、预算绩效情况说明</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hint="eastAsia" w:ascii="黑体" w:hAnsi="黑体" w:eastAsia="黑体" w:cs="黑体"/>
          <w:b/>
          <w:bCs/>
          <w:kern w:val="0"/>
          <w:sz w:val="32"/>
          <w:szCs w:val="32"/>
        </w:rPr>
        <w:t>    （一）预算绩效管理工作开展情况。</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 根据预算绩效管理要求组织对2023年一般公共预算项目支出全面开展绩效自评，其中一级项目</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个，二级项目</w:t>
      </w:r>
      <w:r>
        <w:rPr>
          <w:rFonts w:hint="eastAsia" w:ascii="仿宋" w:hAnsi="仿宋" w:eastAsia="仿宋" w:cs="仿宋"/>
          <w:kern w:val="0"/>
          <w:sz w:val="32"/>
          <w:szCs w:val="32"/>
          <w:u w:val="single"/>
          <w:lang w:val="en-US" w:eastAsia="zh-CN"/>
        </w:rPr>
        <w:t>1</w:t>
      </w:r>
      <w:r>
        <w:rPr>
          <w:rFonts w:hint="eastAsia" w:ascii="仿宋" w:hAnsi="仿宋" w:eastAsia="仿宋" w:cs="仿宋"/>
          <w:kern w:val="0"/>
          <w:sz w:val="32"/>
          <w:szCs w:val="32"/>
        </w:rPr>
        <w:t>个，共涉及资金</w:t>
      </w:r>
      <w:r>
        <w:rPr>
          <w:rFonts w:hint="eastAsia" w:ascii="仿宋" w:hAnsi="仿宋" w:eastAsia="仿宋" w:cs="仿宋"/>
          <w:kern w:val="0"/>
          <w:sz w:val="32"/>
          <w:szCs w:val="32"/>
          <w:u w:val="single"/>
          <w:lang w:val="en-US" w:eastAsia="zh-CN"/>
        </w:rPr>
        <w:t>97</w:t>
      </w:r>
      <w:r>
        <w:rPr>
          <w:rFonts w:hint="eastAsia" w:ascii="仿宋" w:hAnsi="仿宋" w:eastAsia="仿宋" w:cs="仿宋"/>
          <w:kern w:val="0"/>
          <w:sz w:val="32"/>
          <w:szCs w:val="32"/>
        </w:rPr>
        <w:t>万元，占一般公共预算项目支出总额的100%；政府性基金预算项目</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个，其中，一级项目</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个，二级项目</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个，共涉及资金</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万元，占应纳入绩效自评的政府性基金预算项目支出总额的100%。</w:t>
      </w:r>
    </w:p>
    <w:p>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组织对“</w:t>
      </w:r>
      <w:r>
        <w:rPr>
          <w:rFonts w:hint="eastAsia" w:ascii="仿宋" w:hAnsi="仿宋" w:eastAsia="仿宋" w:cs="仿宋"/>
          <w:kern w:val="0"/>
          <w:sz w:val="32"/>
          <w:szCs w:val="32"/>
          <w:lang w:eastAsia="zh-CN"/>
        </w:rPr>
        <w:t>老龄事业费</w:t>
      </w:r>
      <w:r>
        <w:rPr>
          <w:rFonts w:hint="eastAsia" w:ascii="仿宋" w:hAnsi="仿宋" w:eastAsia="仿宋" w:cs="仿宋"/>
          <w:kern w:val="0"/>
          <w:sz w:val="32"/>
          <w:szCs w:val="32"/>
        </w:rPr>
        <w:t>”</w:t>
      </w:r>
      <w:r>
        <w:rPr>
          <w:rFonts w:hint="eastAsia" w:ascii="仿宋" w:hAnsi="仿宋" w:eastAsia="仿宋" w:cs="仿宋"/>
          <w:kern w:val="0"/>
          <w:sz w:val="32"/>
          <w:szCs w:val="32"/>
          <w:u w:val="single"/>
          <w:lang w:val="en-US" w:eastAsia="zh-CN"/>
        </w:rPr>
        <w:t>1</w:t>
      </w:r>
      <w:r>
        <w:rPr>
          <w:rFonts w:hint="eastAsia" w:ascii="仿宋" w:hAnsi="仿宋" w:eastAsia="仿宋" w:cs="仿宋"/>
          <w:kern w:val="0"/>
          <w:sz w:val="32"/>
          <w:szCs w:val="32"/>
        </w:rPr>
        <w:t>个项目开展了单位评价，涉及一般公共预算支出</w:t>
      </w:r>
      <w:r>
        <w:rPr>
          <w:rFonts w:hint="eastAsia" w:ascii="仿宋" w:hAnsi="仿宋" w:eastAsia="仿宋" w:cs="仿宋"/>
          <w:kern w:val="0"/>
          <w:sz w:val="32"/>
          <w:szCs w:val="32"/>
          <w:u w:val="single"/>
          <w:lang w:val="en-US" w:eastAsia="zh-CN"/>
        </w:rPr>
        <w:t>97</w:t>
      </w:r>
      <w:r>
        <w:rPr>
          <w:rFonts w:hint="eastAsia" w:ascii="仿宋" w:hAnsi="仿宋" w:eastAsia="仿宋" w:cs="仿宋"/>
          <w:kern w:val="0"/>
          <w:sz w:val="32"/>
          <w:szCs w:val="32"/>
        </w:rPr>
        <w:t>万元，政府性基金支出</w:t>
      </w:r>
      <w:r>
        <w:rPr>
          <w:rFonts w:hint="eastAsia" w:ascii="仿宋" w:hAnsi="仿宋" w:eastAsia="仿宋" w:cs="仿宋"/>
          <w:kern w:val="0"/>
          <w:sz w:val="32"/>
          <w:szCs w:val="32"/>
          <w:u w:val="single"/>
          <w:lang w:val="en-US" w:eastAsia="zh-CN"/>
        </w:rPr>
        <w:t>0.00</w:t>
      </w:r>
      <w:r>
        <w:rPr>
          <w:rFonts w:hint="eastAsia" w:ascii="仿宋" w:hAnsi="仿宋" w:eastAsia="仿宋" w:cs="仿宋"/>
          <w:kern w:val="0"/>
          <w:sz w:val="32"/>
          <w:szCs w:val="32"/>
        </w:rPr>
        <w:t>万元。</w:t>
      </w:r>
      <w:r>
        <w:rPr>
          <w:rFonts w:hint="eastAsia" w:ascii="仿宋" w:hAnsi="仿宋" w:eastAsia="仿宋" w:cs="仿宋"/>
          <w:sz w:val="32"/>
          <w:szCs w:val="32"/>
          <w:lang w:eastAsia="zh-CN"/>
        </w:rPr>
        <w:t>其中，对“老龄事业费”开展绩效评价。从评价情况看，以上项目基本完成绩效目标，但是</w:t>
      </w:r>
      <w:r>
        <w:rPr>
          <w:rFonts w:hint="eastAsia" w:ascii="仿宋" w:hAnsi="仿宋" w:eastAsia="仿宋" w:cs="仿宋"/>
          <w:bCs/>
          <w:sz w:val="32"/>
          <w:szCs w:val="32"/>
        </w:rPr>
        <w:t>资金管理使用</w:t>
      </w:r>
      <w:r>
        <w:rPr>
          <w:rFonts w:hint="eastAsia" w:ascii="仿宋" w:hAnsi="仿宋" w:eastAsia="仿宋" w:cs="仿宋"/>
          <w:bCs/>
          <w:sz w:val="32"/>
          <w:szCs w:val="32"/>
          <w:lang w:eastAsia="zh-CN"/>
        </w:rPr>
        <w:t>仍旧</w:t>
      </w:r>
      <w:r>
        <w:rPr>
          <w:rFonts w:hint="eastAsia" w:ascii="仿宋" w:hAnsi="仿宋" w:eastAsia="仿宋" w:cs="仿宋"/>
          <w:bCs/>
          <w:sz w:val="32"/>
          <w:szCs w:val="32"/>
        </w:rPr>
        <w:t>存在问题。</w:t>
      </w:r>
      <w:r>
        <w:rPr>
          <w:rFonts w:hint="eastAsia" w:ascii="仿宋" w:hAnsi="仿宋" w:eastAsia="仿宋" w:cs="仿宋"/>
          <w:sz w:val="32"/>
          <w:szCs w:val="32"/>
        </w:rPr>
        <w:t>我单位的目标完成率比较缓慢，造成评价分数较低</w:t>
      </w:r>
      <w:r>
        <w:rPr>
          <w:rFonts w:hint="eastAsia" w:ascii="仿宋" w:hAnsi="仿宋" w:eastAsia="仿宋" w:cs="仿宋"/>
          <w:sz w:val="32"/>
          <w:szCs w:val="32"/>
          <w:lang w:eastAsia="zh-CN"/>
        </w:rPr>
        <w:t>。我单位以及进行总结，日后加强以上方面的工作。</w:t>
      </w:r>
    </w:p>
    <w:p>
      <w:pPr>
        <w:keepNext w:val="0"/>
        <w:keepLines w:val="0"/>
        <w:pageBreakBefore w:val="0"/>
        <w:widowControl/>
        <w:kinsoku/>
        <w:wordWrap/>
        <w:overflowPunct/>
        <w:topLinePunct w:val="0"/>
        <w:autoSpaceDE/>
        <w:autoSpaceDN/>
        <w:bidi w:val="0"/>
        <w:spacing w:before="240" w:after="240" w:line="560" w:lineRule="atLeast"/>
        <w:jc w:val="left"/>
        <w:rPr>
          <w:rFonts w:hint="eastAsia" w:ascii="黑体" w:hAnsi="黑体" w:eastAsia="黑体" w:cs="黑体"/>
          <w:kern w:val="0"/>
          <w:sz w:val="32"/>
          <w:szCs w:val="32"/>
        </w:rPr>
      </w:pPr>
      <w:r>
        <w:rPr>
          <w:rFonts w:ascii="kai_ti_gb2312" w:hAnsi="kai_ti_gb2312" w:eastAsia="kai_ti_gb2312" w:cs="kai_ti_gb2312"/>
          <w:b/>
          <w:bCs/>
          <w:kern w:val="0"/>
          <w:sz w:val="27"/>
          <w:szCs w:val="27"/>
        </w:rPr>
        <w:t>   </w:t>
      </w:r>
      <w:r>
        <w:rPr>
          <w:rFonts w:hint="eastAsia" w:ascii="黑体" w:hAnsi="黑体" w:eastAsia="黑体" w:cs="黑体"/>
          <w:b/>
          <w:bCs/>
          <w:kern w:val="0"/>
          <w:sz w:val="32"/>
          <w:szCs w:val="32"/>
        </w:rPr>
        <w:t xml:space="preserve"> （二）单位决算中项目绩效自评结果。</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内蒙古自治区老龄工作委员会办公室2023年度在决算中反映</w:t>
      </w:r>
      <w:r>
        <w:rPr>
          <w:rFonts w:hint="eastAsia" w:ascii="仿宋" w:hAnsi="仿宋" w:eastAsia="仿宋" w:cs="仿宋"/>
          <w:kern w:val="0"/>
          <w:sz w:val="32"/>
          <w:szCs w:val="32"/>
          <w:u w:val="single"/>
          <w:lang w:val="en-US" w:eastAsia="zh-CN"/>
        </w:rPr>
        <w:t>1</w:t>
      </w:r>
      <w:r>
        <w:rPr>
          <w:rFonts w:hint="eastAsia" w:ascii="仿宋" w:hAnsi="仿宋" w:eastAsia="仿宋" w:cs="仿宋"/>
          <w:kern w:val="0"/>
          <w:sz w:val="32"/>
          <w:szCs w:val="32"/>
        </w:rPr>
        <w:t>个一般公共预算项目，以及</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个政府性基金项目，共</w:t>
      </w:r>
      <w:r>
        <w:rPr>
          <w:rFonts w:hint="eastAsia" w:ascii="仿宋" w:hAnsi="仿宋" w:eastAsia="仿宋" w:cs="仿宋"/>
          <w:kern w:val="0"/>
          <w:sz w:val="32"/>
          <w:szCs w:val="32"/>
          <w:u w:val="single"/>
          <w:lang w:val="en-US" w:eastAsia="zh-CN"/>
        </w:rPr>
        <w:t>1</w:t>
      </w:r>
      <w:r>
        <w:rPr>
          <w:rFonts w:hint="eastAsia" w:ascii="仿宋" w:hAnsi="仿宋" w:eastAsia="仿宋" w:cs="仿宋"/>
          <w:kern w:val="0"/>
          <w:sz w:val="32"/>
          <w:szCs w:val="32"/>
        </w:rPr>
        <w:t>个项目的绩效自评结果。</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eastAsia="zh-CN"/>
        </w:rPr>
        <w:t>老龄事业费</w:t>
      </w:r>
      <w:r>
        <w:rPr>
          <w:rFonts w:hint="eastAsia" w:ascii="仿宋" w:hAnsi="仿宋" w:eastAsia="仿宋" w:cs="仿宋"/>
          <w:kern w:val="0"/>
          <w:sz w:val="32"/>
          <w:szCs w:val="32"/>
        </w:rPr>
        <w:t>项目自评综述：根据年初设定的绩效目标，项目自评得分</w:t>
      </w:r>
      <w:r>
        <w:rPr>
          <w:rFonts w:hint="eastAsia" w:ascii="仿宋" w:hAnsi="仿宋" w:eastAsia="仿宋" w:cs="仿宋"/>
          <w:kern w:val="0"/>
          <w:sz w:val="32"/>
          <w:szCs w:val="32"/>
          <w:u w:val="single"/>
          <w:lang w:val="en-US" w:eastAsia="zh-CN"/>
        </w:rPr>
        <w:t>92.33</w:t>
      </w:r>
      <w:r>
        <w:rPr>
          <w:rFonts w:hint="eastAsia" w:ascii="仿宋" w:hAnsi="仿宋" w:eastAsia="仿宋" w:cs="仿宋"/>
          <w:kern w:val="0"/>
          <w:sz w:val="32"/>
          <w:szCs w:val="32"/>
        </w:rPr>
        <w:t>分。全年预算数为</w:t>
      </w:r>
      <w:r>
        <w:rPr>
          <w:rFonts w:hint="eastAsia" w:ascii="仿宋" w:hAnsi="仿宋" w:eastAsia="仿宋" w:cs="仿宋"/>
          <w:kern w:val="0"/>
          <w:sz w:val="32"/>
          <w:szCs w:val="32"/>
          <w:u w:val="single"/>
          <w:lang w:val="en-US" w:eastAsia="zh-CN"/>
        </w:rPr>
        <w:t>97</w:t>
      </w:r>
      <w:r>
        <w:rPr>
          <w:rFonts w:hint="eastAsia" w:ascii="仿宋" w:hAnsi="仿宋" w:eastAsia="仿宋" w:cs="仿宋"/>
          <w:kern w:val="0"/>
          <w:sz w:val="32"/>
          <w:szCs w:val="32"/>
        </w:rPr>
        <w:t>万元，执行数为</w:t>
      </w:r>
      <w:r>
        <w:rPr>
          <w:rFonts w:hint="eastAsia" w:ascii="仿宋" w:hAnsi="仿宋" w:eastAsia="仿宋" w:cs="仿宋"/>
          <w:kern w:val="0"/>
          <w:sz w:val="32"/>
          <w:szCs w:val="32"/>
          <w:u w:val="single"/>
          <w:lang w:val="en-US" w:eastAsia="zh-CN"/>
        </w:rPr>
        <w:t>95.35</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lang w:val="en-US" w:eastAsia="zh-CN"/>
        </w:rPr>
        <w:t>98.3</w:t>
      </w:r>
      <w:r>
        <w:rPr>
          <w:rFonts w:hint="eastAsia" w:ascii="仿宋" w:hAnsi="仿宋" w:eastAsia="仿宋" w:cs="仿宋"/>
          <w:kern w:val="0"/>
          <w:sz w:val="32"/>
          <w:szCs w:val="32"/>
        </w:rPr>
        <w:t>%。项目绩效目标完成情况</w:t>
      </w:r>
      <w:r>
        <w:rPr>
          <w:rFonts w:hint="eastAsia" w:ascii="仿宋" w:hAnsi="仿宋" w:eastAsia="仿宋" w:cs="仿宋"/>
          <w:sz w:val="32"/>
          <w:szCs w:val="32"/>
          <w:lang w:eastAsia="zh-CN"/>
        </w:rPr>
        <w:t>核心绩效目标均已完成</w:t>
      </w:r>
      <w:r>
        <w:rPr>
          <w:rFonts w:hint="eastAsia" w:ascii="仿宋" w:hAnsi="仿宋" w:eastAsia="仿宋" w:cs="仿宋"/>
          <w:kern w:val="0"/>
          <w:sz w:val="32"/>
          <w:szCs w:val="32"/>
        </w:rPr>
        <w:t>。发现的主要问题及原因：</w:t>
      </w:r>
      <w:r>
        <w:rPr>
          <w:rFonts w:hint="eastAsia" w:ascii="仿宋" w:hAnsi="仿宋" w:eastAsia="仿宋" w:cs="仿宋"/>
          <w:sz w:val="32"/>
          <w:szCs w:val="32"/>
          <w:lang w:eastAsia="zh-CN"/>
        </w:rPr>
        <w:t>因我单位项目中重要的活动是敬老月活动，敬老月安排在每年的</w:t>
      </w:r>
      <w:r>
        <w:rPr>
          <w:rFonts w:hint="eastAsia" w:ascii="仿宋" w:hAnsi="仿宋" w:eastAsia="仿宋" w:cs="仿宋"/>
          <w:sz w:val="32"/>
          <w:szCs w:val="32"/>
          <w:lang w:val="en-US" w:eastAsia="zh-CN"/>
        </w:rPr>
        <w:t>9</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10月</w:t>
      </w:r>
      <w:r>
        <w:rPr>
          <w:rFonts w:hint="eastAsia" w:ascii="仿宋" w:hAnsi="仿宋" w:eastAsia="仿宋" w:cs="仿宋"/>
          <w:sz w:val="32"/>
          <w:szCs w:val="32"/>
          <w:lang w:eastAsia="zh-CN"/>
        </w:rPr>
        <w:t>左右，因此绩效目标完成晚。；另外依旧存在预算安排不合理，需要进行调剂等情况。</w:t>
      </w:r>
      <w:r>
        <w:rPr>
          <w:rFonts w:hint="eastAsia" w:ascii="仿宋" w:hAnsi="仿宋" w:eastAsia="仿宋" w:cs="仿宋"/>
          <w:kern w:val="0"/>
          <w:sz w:val="32"/>
          <w:szCs w:val="32"/>
        </w:rPr>
        <w:t>下一步改进措施：</w:t>
      </w:r>
      <w:r>
        <w:rPr>
          <w:rFonts w:hint="eastAsia" w:ascii="仿宋" w:hAnsi="仿宋" w:eastAsia="仿宋" w:cs="仿宋"/>
          <w:sz w:val="32"/>
          <w:szCs w:val="32"/>
          <w:lang w:eastAsia="zh-CN"/>
        </w:rPr>
        <w:t>安排相关工作人员学习绩效目标设置等专业知识，积极参加培训。合理安排绩效目标，尽快完成绩效目标。合理安排预算活动，减少预算调剂。</w:t>
      </w:r>
    </w:p>
    <w:p>
      <w:pPr>
        <w:keepNext w:val="0"/>
        <w:keepLines w:val="0"/>
        <w:pageBreakBefore w:val="0"/>
        <w:widowControl/>
        <w:kinsoku/>
        <w:wordWrap/>
        <w:overflowPunct/>
        <w:topLinePunct w:val="0"/>
        <w:autoSpaceDE/>
        <w:autoSpaceDN/>
        <w:bidi w:val="0"/>
        <w:adjustRightInd/>
        <w:snapToGrid/>
        <w:spacing w:before="240" w:after="240" w:line="560" w:lineRule="atLeast"/>
        <w:ind w:firstLine="640" w:firstLineChars="200"/>
        <w:textAlignment w:val="auto"/>
        <w:rPr>
          <w:rFonts w:hint="eastAsia" w:ascii="仿宋" w:hAnsi="仿宋" w:eastAsia="仿宋" w:cs="仿宋"/>
          <w:kern w:val="0"/>
          <w:sz w:val="27"/>
          <w:szCs w:val="27"/>
        </w:rPr>
      </w:pPr>
      <w:r>
        <w:rPr>
          <w:rFonts w:hint="eastAsia" w:ascii="仿宋" w:hAnsi="仿宋" w:eastAsia="仿宋" w:cs="仿宋"/>
          <w:kern w:val="0"/>
          <w:sz w:val="32"/>
          <w:szCs w:val="32"/>
        </w:rPr>
        <w:t>2.</w:t>
      </w:r>
      <w:r>
        <w:rPr>
          <w:rFonts w:hint="eastAsia" w:ascii="仿宋" w:hAnsi="仿宋" w:eastAsia="仿宋" w:cs="仿宋"/>
          <w:kern w:val="0"/>
          <w:sz w:val="32"/>
          <w:szCs w:val="32"/>
          <w:lang w:eastAsia="zh-CN"/>
        </w:rPr>
        <w:t>老龄事业费</w:t>
      </w:r>
      <w:r>
        <w:rPr>
          <w:rFonts w:hint="eastAsia" w:ascii="仿宋" w:hAnsi="仿宋" w:eastAsia="仿宋" w:cs="仿宋"/>
          <w:kern w:val="0"/>
          <w:sz w:val="32"/>
          <w:szCs w:val="32"/>
        </w:rPr>
        <w:t>项目自评</w:t>
      </w:r>
      <w:r>
        <w:rPr>
          <w:rFonts w:hint="eastAsia" w:ascii="仿宋" w:hAnsi="仿宋" w:eastAsia="仿宋" w:cs="仿宋"/>
          <w:kern w:val="0"/>
          <w:sz w:val="32"/>
          <w:szCs w:val="32"/>
          <w:lang w:eastAsia="zh-CN"/>
        </w:rPr>
        <w:t>表</w:t>
      </w:r>
      <w:r>
        <w:rPr>
          <w:rFonts w:hint="eastAsia" w:ascii="仿宋" w:hAnsi="仿宋" w:eastAsia="仿宋" w:cs="仿宋"/>
          <w:kern w:val="0"/>
          <w:sz w:val="32"/>
          <w:szCs w:val="32"/>
        </w:rPr>
        <w:t>：</w:t>
      </w:r>
    </w:p>
    <w:tbl>
      <w:tblPr>
        <w:tblStyle w:val="18"/>
        <w:tblW w:w="970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0"/>
        <w:gridCol w:w="423"/>
        <w:gridCol w:w="947"/>
        <w:gridCol w:w="1133"/>
        <w:gridCol w:w="947"/>
        <w:gridCol w:w="653"/>
        <w:gridCol w:w="867"/>
        <w:gridCol w:w="773"/>
        <w:gridCol w:w="720"/>
        <w:gridCol w:w="800"/>
        <w:gridCol w:w="653"/>
        <w:gridCol w:w="1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70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b/>
                <w:bCs/>
                <w:i w:val="0"/>
                <w:iCs w:val="0"/>
                <w:color w:val="000000"/>
                <w:sz w:val="40"/>
                <w:szCs w:val="40"/>
                <w:u w:val="none"/>
              </w:rPr>
            </w:pPr>
            <w:r>
              <w:rPr>
                <w:rFonts w:hint="eastAsia" w:ascii="仿宋" w:hAnsi="仿宋" w:eastAsia="仿宋" w:cs="仿宋"/>
                <w:b/>
                <w:bCs/>
                <w:i w:val="0"/>
                <w:iCs w:val="0"/>
                <w:color w:val="000000"/>
                <w:kern w:val="0"/>
                <w:sz w:val="40"/>
                <w:szCs w:val="40"/>
                <w:u w:val="none"/>
                <w:lang w:val="en-US" w:eastAsia="zh-CN" w:bidi="ar"/>
              </w:rPr>
              <w:t>项目支出绩效自评表</w:t>
            </w:r>
            <w:r>
              <w:rPr>
                <w:rFonts w:hint="eastAsia" w:ascii="仿宋" w:hAnsi="仿宋" w:eastAsia="仿宋" w:cs="仿宋"/>
                <w:b/>
                <w:bCs/>
                <w:i w:val="0"/>
                <w:iCs w:val="0"/>
                <w:color w:val="000000"/>
                <w:kern w:val="0"/>
                <w:sz w:val="40"/>
                <w:szCs w:val="40"/>
                <w:u w:val="none"/>
                <w:lang w:val="en-US" w:eastAsia="zh-CN" w:bidi="ar"/>
              </w:rPr>
              <w:br w:type="textWrapping"/>
            </w:r>
            <w:r>
              <w:rPr>
                <w:rFonts w:hint="eastAsia" w:ascii="仿宋" w:hAnsi="仿宋" w:eastAsia="仿宋" w:cs="仿宋"/>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righ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项目名称</w:t>
            </w:r>
          </w:p>
        </w:tc>
        <w:tc>
          <w:tcPr>
            <w:tcW w:w="852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老龄事业费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righ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主管部门</w:t>
            </w:r>
          </w:p>
        </w:tc>
        <w:tc>
          <w:tcPr>
            <w:tcW w:w="36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内蒙古自治区卫生健康委员会部门</w:t>
            </w:r>
          </w:p>
        </w:tc>
        <w:tc>
          <w:tcPr>
            <w:tcW w:w="1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righ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实施单位</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内蒙古自治区老龄工作委员会办公室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项目资金</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（万元）</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年初预算数</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全年预算数</w:t>
            </w:r>
          </w:p>
        </w:tc>
        <w:tc>
          <w:tcPr>
            <w:tcW w:w="1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全年执行数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分值</w:t>
            </w:r>
          </w:p>
        </w:tc>
        <w:tc>
          <w:tcPr>
            <w:tcW w:w="1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执行率（%）</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年度资金总额</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95.35</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97.00</w:t>
            </w:r>
          </w:p>
        </w:tc>
        <w:tc>
          <w:tcPr>
            <w:tcW w:w="1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95.35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98.30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其中：财政拨款</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95.35</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97.00</w:t>
            </w:r>
          </w:p>
        </w:tc>
        <w:tc>
          <w:tcPr>
            <w:tcW w:w="1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95.35</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222222"/>
                <w:sz w:val="19"/>
                <w:szCs w:val="19"/>
                <w:u w:val="none"/>
              </w:rPr>
            </w:pPr>
            <w:r>
              <w:rPr>
                <w:rFonts w:hint="eastAsia" w:ascii="仿宋" w:hAnsi="仿宋" w:eastAsia="仿宋" w:cs="仿宋"/>
                <w:i w:val="0"/>
                <w:iCs w:val="0"/>
                <w:color w:val="222222"/>
                <w:kern w:val="0"/>
                <w:sz w:val="19"/>
                <w:szCs w:val="19"/>
                <w:u w:val="none"/>
                <w:lang w:val="en-US" w:eastAsia="zh-CN" w:bidi="ar"/>
              </w:rPr>
              <w:t>——</w:t>
            </w:r>
          </w:p>
        </w:tc>
        <w:tc>
          <w:tcPr>
            <w:tcW w:w="1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98.30</w:t>
            </w:r>
          </w:p>
        </w:tc>
        <w:tc>
          <w:tcPr>
            <w:tcW w:w="1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222222"/>
                <w:sz w:val="19"/>
                <w:szCs w:val="19"/>
                <w:u w:val="none"/>
              </w:rPr>
            </w:pPr>
            <w:r>
              <w:rPr>
                <w:rFonts w:hint="eastAsia" w:ascii="仿宋" w:hAnsi="仿宋" w:eastAsia="仿宋" w:cs="仿宋"/>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上年结转资金</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0.00</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0.00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222222"/>
                <w:sz w:val="19"/>
                <w:szCs w:val="19"/>
                <w:u w:val="none"/>
              </w:rPr>
            </w:pPr>
            <w:r>
              <w:rPr>
                <w:rFonts w:hint="eastAsia" w:ascii="仿宋" w:hAnsi="仿宋" w:eastAsia="仿宋" w:cs="仿宋"/>
                <w:i w:val="0"/>
                <w:iCs w:val="0"/>
                <w:color w:val="222222"/>
                <w:kern w:val="0"/>
                <w:sz w:val="19"/>
                <w:szCs w:val="19"/>
                <w:u w:val="none"/>
                <w:lang w:val="en-US" w:eastAsia="zh-CN" w:bidi="ar"/>
              </w:rPr>
              <w:t>——</w:t>
            </w:r>
          </w:p>
        </w:tc>
        <w:tc>
          <w:tcPr>
            <w:tcW w:w="1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222222"/>
                <w:sz w:val="19"/>
                <w:szCs w:val="19"/>
                <w:u w:val="none"/>
              </w:rPr>
            </w:pPr>
            <w:r>
              <w:rPr>
                <w:rFonts w:hint="eastAsia" w:ascii="仿宋" w:hAnsi="仿宋" w:eastAsia="仿宋" w:cs="仿宋"/>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其他资金</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0.00</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0.00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222222"/>
                <w:sz w:val="19"/>
                <w:szCs w:val="19"/>
                <w:u w:val="none"/>
              </w:rPr>
            </w:pPr>
            <w:r>
              <w:rPr>
                <w:rFonts w:hint="eastAsia" w:ascii="仿宋" w:hAnsi="仿宋" w:eastAsia="仿宋" w:cs="仿宋"/>
                <w:i w:val="0"/>
                <w:iCs w:val="0"/>
                <w:color w:val="222222"/>
                <w:kern w:val="0"/>
                <w:sz w:val="19"/>
                <w:szCs w:val="19"/>
                <w:u w:val="none"/>
                <w:lang w:val="en-US" w:eastAsia="zh-CN" w:bidi="ar"/>
              </w:rPr>
              <w:t>——</w:t>
            </w:r>
          </w:p>
        </w:tc>
        <w:tc>
          <w:tcPr>
            <w:tcW w:w="1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222222"/>
                <w:sz w:val="19"/>
                <w:szCs w:val="19"/>
                <w:u w:val="none"/>
              </w:rPr>
            </w:pPr>
            <w:r>
              <w:rPr>
                <w:rFonts w:hint="eastAsia" w:ascii="仿宋" w:hAnsi="仿宋" w:eastAsia="仿宋" w:cs="仿宋"/>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年度总体目标</w:t>
            </w:r>
          </w:p>
        </w:tc>
        <w:tc>
          <w:tcPr>
            <w:tcW w:w="45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预期目标</w:t>
            </w:r>
          </w:p>
        </w:tc>
        <w:tc>
          <w:tcPr>
            <w:tcW w:w="397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5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把老龄事业纳入全区经济社会发展总体规划，紧紧围绕老有所养、老有所医、老有所教、老有所学、老有所为、老有所乐工作目标，不断完善老龄法规政策体系，健全社会养老保障制度，加大老龄基础设施投入，优先发展社会养老服务事业完成老龄事业开展老龄工作的各项活动</w:t>
            </w:r>
          </w:p>
        </w:tc>
        <w:tc>
          <w:tcPr>
            <w:tcW w:w="397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项目资金全年预算97万元，全年执行95.35万元，执行率98.3%，得分9.83。年度绩效目标完成82.5分。合计92.33分。基本完成全年绩效目标。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绩效指标</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一级指标</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二级指标</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三级指标</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指标性质</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指标方向</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年度指标值</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实际完成值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计量单位</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分值</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得分</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绩效指标</w:t>
            </w:r>
          </w:p>
        </w:tc>
        <w:tc>
          <w:tcPr>
            <w:tcW w:w="42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产出指标</w:t>
            </w:r>
          </w:p>
        </w:tc>
        <w:tc>
          <w:tcPr>
            <w:tcW w:w="94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质量指标</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慰问达标率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培训完成率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会议完成率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指导检查完成率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印刷合格率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播放任务完成率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播放达标率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财务委托服务合格率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课题研究服务合格率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微信公众号维护合格率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金财信息技术服务合格率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邮寄文件书籍及时率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办公室电话宽带合格率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时效指标</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慰问完成时间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20231031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20231031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印刷宣传品完成时间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20231031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20231031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培训完成时间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20230531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20230531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会议完成时间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20231031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出差调研完成时间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电视台宣传完成时间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电视台播放时长</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25</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分钟</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财务委托服务时间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20240431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20240431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课题研究服务完成时间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20230915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微信公众号维护服务时间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20240731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20240731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金财信息技术服务时间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邮寄文件书籍时间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办公室电话宽带服务时间</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20231231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成本指标</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慰问个人成本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数量指标</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慰问人数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人</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慰问机构数量</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印刷宣传折页</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册</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印刷宣传海报</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册</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印刷手提袋</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册</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培训人数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人</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培训天数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天</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会议人数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人</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会议天数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天</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出差调研指导人数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人</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电视台播放次数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48</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48</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次</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电视台播放时长</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25</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25</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分钟</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财务委托服务数量</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课题研究服务数量</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微信公众号维护数量</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金财信息技术服务年数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邮寄文件书籍次数</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12</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12</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次</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办公室电话及宽带数量</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办公设备购置电脑</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台</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信息化软件</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成本指标</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慰问机构成本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时间</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印刷宣传折页成本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印刷海报成本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6</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6</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印刷手提袋成本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会议成本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培训成本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差旅费用</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电视台播放成本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50000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办公室电话及宽带成本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1400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1400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财务委托服务成本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98000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48000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课题研究服务成本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36000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微信公众号维护成本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金财信息技术服务成本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2500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邮寄文件书籍成本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417</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办公设备购置电脑成本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8000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信息化软件成本</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反向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小于等于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元</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0.5</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效益指标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经济效益</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无</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社会效益</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老年人幸福感</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社会对老龄工作的重视</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工作人员业务能力</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电视台宣传促进来年人健康</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财务委托服务提供便利</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课题研究服务提供便利</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金财信息技术服务提供便利</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微信关注扩大宣传影响力</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工作效率提高</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生态效益</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无</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0</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可持续影响</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促进老年事业健康发展</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c>
          <w:tcPr>
            <w:tcW w:w="4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满意度指标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服务对象满意度</w:t>
            </w:r>
          </w:p>
        </w:tc>
        <w:tc>
          <w:tcPr>
            <w:tcW w:w="11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受益老年人满意度指标</w:t>
            </w:r>
          </w:p>
        </w:tc>
        <w:tc>
          <w:tcPr>
            <w:tcW w:w="9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正向</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大于等于</w:t>
            </w:r>
          </w:p>
        </w:tc>
        <w:tc>
          <w:tcPr>
            <w:tcW w:w="8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提升</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22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总分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atLeast"/>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92.33</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560" w:lineRule="atLeast"/>
              <w:jc w:val="center"/>
              <w:rPr>
                <w:rFonts w:hint="eastAsia" w:ascii="仿宋" w:hAnsi="仿宋" w:eastAsia="仿宋" w:cs="仿宋"/>
                <w:i w:val="0"/>
                <w:iCs w:val="0"/>
                <w:color w:val="000000"/>
                <w:sz w:val="18"/>
                <w:szCs w:val="18"/>
                <w:u w:val="none"/>
              </w:rPr>
            </w:pPr>
          </w:p>
        </w:tc>
      </w:tr>
    </w:tbl>
    <w:p>
      <w:pPr>
        <w:keepNext w:val="0"/>
        <w:keepLines w:val="0"/>
        <w:pageBreakBefore w:val="0"/>
        <w:widowControl/>
        <w:kinsoku/>
        <w:wordWrap/>
        <w:overflowPunct/>
        <w:topLinePunct w:val="0"/>
        <w:autoSpaceDE/>
        <w:autoSpaceDN/>
        <w:bidi w:val="0"/>
        <w:spacing w:before="240" w:after="240" w:line="560" w:lineRule="atLeast"/>
        <w:rPr>
          <w:rFonts w:ascii="Times New Roman" w:hAnsi="Times New Roman" w:eastAsia="Times New Roman" w:cs="Times New Roman"/>
          <w:kern w:val="0"/>
          <w:sz w:val="24"/>
        </w:rPr>
      </w:pPr>
    </w:p>
    <w:p>
      <w:pPr>
        <w:keepNext w:val="0"/>
        <w:keepLines w:val="0"/>
        <w:pageBreakBefore w:val="0"/>
        <w:widowControl/>
        <w:numPr>
          <w:ilvl w:val="0"/>
          <w:numId w:val="0"/>
        </w:numPr>
        <w:kinsoku/>
        <w:wordWrap/>
        <w:overflowPunct/>
        <w:topLinePunct w:val="0"/>
        <w:autoSpaceDE/>
        <w:autoSpaceDN/>
        <w:bidi w:val="0"/>
        <w:spacing w:before="240" w:after="240" w:line="560" w:lineRule="atLeast"/>
        <w:ind w:left="0" w:leftChars="0" w:firstLine="491" w:firstLineChars="0"/>
        <w:jc w:val="left"/>
        <w:rPr>
          <w:rFonts w:hint="eastAsia" w:ascii="黑体" w:hAnsi="黑体" w:eastAsia="黑体" w:cs="黑体"/>
          <w:b/>
          <w:bCs/>
          <w:kern w:val="0"/>
          <w:sz w:val="32"/>
          <w:szCs w:val="32"/>
        </w:rPr>
      </w:pPr>
      <w:r>
        <w:rPr>
          <w:rFonts w:hint="eastAsia" w:ascii="黑体" w:hAnsi="黑体" w:eastAsia="黑体" w:cs="黑体"/>
          <w:b/>
          <w:bCs/>
          <w:kern w:val="0"/>
          <w:sz w:val="32"/>
          <w:szCs w:val="32"/>
          <w:lang w:val="en-US" w:eastAsia="zh-CN" w:bidi="ar-SA"/>
        </w:rPr>
        <w:t>（二）</w:t>
      </w:r>
      <w:r>
        <w:rPr>
          <w:rFonts w:hint="eastAsia" w:ascii="黑体" w:hAnsi="黑体" w:eastAsia="黑体" w:cs="黑体"/>
          <w:b/>
          <w:bCs/>
          <w:kern w:val="0"/>
          <w:sz w:val="32"/>
          <w:szCs w:val="32"/>
        </w:rPr>
        <w:t>单位项目绩效评价结果。</w:t>
      </w:r>
    </w:p>
    <w:p>
      <w:pPr>
        <w:keepNext w:val="0"/>
        <w:keepLines w:val="0"/>
        <w:pageBreakBefore w:val="0"/>
        <w:widowControl w:val="0"/>
        <w:kinsoku/>
        <w:wordWrap/>
        <w:overflowPunct/>
        <w:topLinePunct w:val="0"/>
        <w:autoSpaceDE/>
        <w:autoSpaceDN/>
        <w:bidi w:val="0"/>
        <w:adjustRightInd/>
        <w:snapToGrid/>
        <w:spacing w:line="560" w:lineRule="atLeast"/>
        <w:ind w:firstLine="644" w:firstLineChars="200"/>
        <w:textAlignment w:val="auto"/>
        <w:rPr>
          <w:rFonts w:hint="eastAsia" w:ascii="仿宋" w:hAnsi="仿宋" w:eastAsia="仿宋" w:cs="仿宋"/>
          <w:spacing w:val="1"/>
          <w:sz w:val="32"/>
          <w:szCs w:val="32"/>
          <w:lang w:val="en-US" w:eastAsia="zh-CN"/>
        </w:rPr>
      </w:pPr>
      <w:r>
        <w:rPr>
          <w:rFonts w:hint="eastAsia" w:ascii="仿宋" w:hAnsi="仿宋" w:eastAsia="仿宋" w:cs="仿宋"/>
          <w:spacing w:val="1"/>
          <w:sz w:val="32"/>
          <w:szCs w:val="32"/>
          <w:lang w:val="en-US" w:eastAsia="zh-CN"/>
        </w:rPr>
        <w:t>本单位不涉及重点项目绩效评价，也未邀请第三方机构进行项目绩效评价。</w:t>
      </w:r>
    </w:p>
    <w:p>
      <w:pPr>
        <w:keepNext w:val="0"/>
        <w:keepLines w:val="0"/>
        <w:pageBreakBefore w:val="0"/>
        <w:kinsoku/>
        <w:wordWrap/>
        <w:overflowPunct/>
        <w:topLinePunct w:val="0"/>
        <w:autoSpaceDE/>
        <w:autoSpaceDN/>
        <w:bidi w:val="0"/>
        <w:spacing w:line="560" w:lineRule="atLeast"/>
        <w:ind w:left="0" w:firstLine="604"/>
        <w:rPr>
          <w:rFonts w:hint="eastAsia" w:ascii="仿宋" w:hAnsi="仿宋" w:eastAsia="仿宋" w:cs="仿宋"/>
          <w:spacing w:val="1"/>
          <w:sz w:val="30"/>
          <w:szCs w:val="30"/>
          <w:lang w:val="en-US" w:eastAsia="zh-CN"/>
        </w:rPr>
      </w:pPr>
    </w:p>
    <w:p>
      <w:pPr>
        <w:keepNext w:val="0"/>
        <w:keepLines w:val="0"/>
        <w:pageBreakBefore w:val="0"/>
        <w:kinsoku/>
        <w:wordWrap/>
        <w:overflowPunct/>
        <w:topLinePunct w:val="0"/>
        <w:autoSpaceDE/>
        <w:autoSpaceDN/>
        <w:bidi w:val="0"/>
        <w:spacing w:line="560" w:lineRule="atLeast"/>
        <w:ind w:left="0" w:firstLine="604"/>
        <w:rPr>
          <w:rFonts w:hint="eastAsia" w:ascii="仿宋" w:hAnsi="仿宋" w:eastAsia="仿宋" w:cs="仿宋"/>
          <w:spacing w:val="1"/>
          <w:sz w:val="30"/>
          <w:szCs w:val="30"/>
          <w:lang w:val="en-US" w:eastAsia="zh-CN"/>
        </w:rPr>
      </w:pPr>
    </w:p>
    <w:p>
      <w:pPr>
        <w:keepNext w:val="0"/>
        <w:keepLines w:val="0"/>
        <w:pageBreakBefore w:val="0"/>
        <w:kinsoku/>
        <w:wordWrap/>
        <w:overflowPunct/>
        <w:topLinePunct w:val="0"/>
        <w:autoSpaceDE/>
        <w:autoSpaceDN/>
        <w:bidi w:val="0"/>
        <w:spacing w:line="560" w:lineRule="atLeast"/>
        <w:ind w:left="0" w:firstLine="604"/>
        <w:rPr>
          <w:rFonts w:hint="eastAsia" w:ascii="仿宋" w:hAnsi="仿宋" w:eastAsia="仿宋" w:cs="仿宋"/>
          <w:spacing w:val="1"/>
          <w:sz w:val="30"/>
          <w:szCs w:val="30"/>
          <w:lang w:val="en-US" w:eastAsia="zh-CN"/>
        </w:rPr>
      </w:pPr>
    </w:p>
    <w:p>
      <w:pPr>
        <w:keepNext w:val="0"/>
        <w:keepLines w:val="0"/>
        <w:pageBreakBefore w:val="0"/>
        <w:kinsoku/>
        <w:wordWrap/>
        <w:overflowPunct/>
        <w:topLinePunct w:val="0"/>
        <w:autoSpaceDE/>
        <w:autoSpaceDN/>
        <w:bidi w:val="0"/>
        <w:spacing w:line="560" w:lineRule="atLeast"/>
        <w:ind w:left="0" w:firstLine="604"/>
        <w:rPr>
          <w:rFonts w:hint="eastAsia" w:ascii="仿宋" w:hAnsi="仿宋" w:eastAsia="仿宋" w:cs="仿宋"/>
          <w:spacing w:val="1"/>
          <w:sz w:val="30"/>
          <w:szCs w:val="30"/>
          <w:lang w:val="en-US" w:eastAsia="zh-CN"/>
        </w:rPr>
      </w:pPr>
    </w:p>
    <w:p>
      <w:pPr>
        <w:keepNext w:val="0"/>
        <w:keepLines w:val="0"/>
        <w:pageBreakBefore w:val="0"/>
        <w:widowControl/>
        <w:kinsoku/>
        <w:wordWrap/>
        <w:overflowPunct/>
        <w:topLinePunct w:val="0"/>
        <w:autoSpaceDE/>
        <w:autoSpaceDN/>
        <w:bidi w:val="0"/>
        <w:spacing w:before="240" w:after="240" w:line="560" w:lineRule="atLeast"/>
        <w:jc w:val="left"/>
        <w:rPr>
          <w:rFonts w:hint="eastAsia" w:ascii="仿宋" w:hAnsi="仿宋" w:eastAsia="仿宋" w:cs="仿宋"/>
          <w:kern w:val="0"/>
          <w:sz w:val="32"/>
          <w:szCs w:val="32"/>
        </w:rPr>
      </w:pPr>
    </w:p>
    <w:p>
      <w:pPr>
        <w:pStyle w:val="3"/>
        <w:keepNext w:val="0"/>
        <w:keepLines w:val="0"/>
        <w:pageBreakBefore w:val="0"/>
        <w:widowControl/>
        <w:kinsoku/>
        <w:wordWrap/>
        <w:overflowPunct/>
        <w:topLinePunct w:val="0"/>
        <w:autoSpaceDE/>
        <w:autoSpaceDN/>
        <w:bidi w:val="0"/>
        <w:spacing w:before="299" w:after="299" w:line="560" w:lineRule="atLeast"/>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w:t>
      </w:r>
      <w:bookmarkStart w:id="1" w:name="_GoBack"/>
      <w:bookmarkEnd w:id="1"/>
      <w:r>
        <w:rPr>
          <w:rFonts w:ascii="fang_song_gb2312" w:hAnsi="fang_song_gb2312" w:eastAsia="fang_song_gb2312" w:cs="fang_song_gb2312"/>
          <w:kern w:val="0"/>
          <w:sz w:val="27"/>
          <w:szCs w:val="27"/>
        </w:rPr>
        <w:t>实行专项管理的高中以上学费、住宿费、高校委托培养费、函大、电大、夜大及短训班培训费等教育收费。</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p>
      <w:pPr>
        <w:pStyle w:val="3"/>
        <w:keepNext w:val="0"/>
        <w:keepLines w:val="0"/>
        <w:pageBreakBefore w:val="0"/>
        <w:widowControl/>
        <w:kinsoku/>
        <w:wordWrap/>
        <w:overflowPunct/>
        <w:topLinePunct w:val="0"/>
        <w:autoSpaceDE/>
        <w:autoSpaceDN/>
        <w:bidi w:val="0"/>
        <w:spacing w:before="299" w:after="299" w:line="560" w:lineRule="atLeast"/>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仿宋" w:hAnsi="仿宋" w:eastAsia="仿宋" w:cs="仿宋"/>
          <w:kern w:val="0"/>
          <w:sz w:val="27"/>
          <w:szCs w:val="27"/>
        </w:rPr>
        <w:t>本单位决算公开信息反馈和联系方式：</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仿宋" w:hAnsi="仿宋" w:eastAsia="仿宋" w:cs="仿宋"/>
          <w:kern w:val="0"/>
          <w:sz w:val="27"/>
          <w:szCs w:val="27"/>
        </w:rPr>
        <w:t xml:space="preserve"> 联系人：</w:t>
      </w:r>
      <w:r>
        <w:rPr>
          <w:rFonts w:hint="eastAsia" w:ascii="仿宋" w:hAnsi="仿宋" w:eastAsia="仿宋" w:cs="仿宋"/>
          <w:kern w:val="0"/>
          <w:sz w:val="27"/>
          <w:szCs w:val="27"/>
          <w:u w:val="single"/>
          <w:lang w:eastAsia="zh-CN"/>
        </w:rPr>
        <w:t>武喜萍</w:t>
      </w:r>
      <w:r>
        <w:rPr>
          <w:rFonts w:hint="eastAsia" w:ascii="仿宋" w:hAnsi="仿宋" w:eastAsia="仿宋" w:cs="仿宋"/>
          <w:kern w:val="0"/>
          <w:sz w:val="27"/>
          <w:szCs w:val="27"/>
          <w:u w:val="single"/>
        </w:rPr>
        <w:t xml:space="preserve"> </w:t>
      </w:r>
      <w:r>
        <w:rPr>
          <w:rFonts w:hint="eastAsia" w:ascii="仿宋" w:hAnsi="仿宋" w:eastAsia="仿宋" w:cs="仿宋"/>
          <w:kern w:val="0"/>
          <w:sz w:val="27"/>
          <w:szCs w:val="27"/>
        </w:rPr>
        <w:t>          联系电话：0471-</w:t>
      </w:r>
      <w:r>
        <w:rPr>
          <w:rFonts w:hint="eastAsia" w:ascii="仿宋" w:hAnsi="仿宋" w:eastAsia="仿宋" w:cs="仿宋"/>
          <w:kern w:val="0"/>
          <w:sz w:val="27"/>
          <w:szCs w:val="27"/>
          <w:lang w:val="en-US" w:eastAsia="zh-CN"/>
        </w:rPr>
        <w:t>6944254</w:t>
      </w:r>
      <w:r>
        <w:rPr>
          <w:rFonts w:hint="eastAsia" w:ascii="仿宋" w:hAnsi="仿宋" w:eastAsia="仿宋" w:cs="仿宋"/>
          <w:kern w:val="0"/>
          <w:sz w:val="27"/>
          <w:szCs w:val="27"/>
        </w:rPr>
        <w:t>- </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单位决算表</w:t>
      </w:r>
    </w:p>
    <w:p>
      <w:pPr>
        <w:keepNext w:val="0"/>
        <w:keepLines w:val="0"/>
        <w:pageBreakBefore w:val="0"/>
        <w:widowControl/>
        <w:kinsoku/>
        <w:wordWrap/>
        <w:overflowPunct/>
        <w:topLinePunct w:val="0"/>
        <w:autoSpaceDE/>
        <w:autoSpaceDN/>
        <w:bidi w:val="0"/>
        <w:spacing w:before="240" w:after="240" w:line="560" w:lineRule="atLeast"/>
        <w:jc w:val="center"/>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eastAsia="zh-CN"/>
        </w:rPr>
        <w:t>详</w:t>
      </w:r>
      <w:r>
        <w:rPr>
          <w:rFonts w:ascii="fang_song_gb2312" w:hAnsi="fang_song_gb2312" w:eastAsia="fang_song_gb2312" w:cs="fang_song_gb2312"/>
          <w:kern w:val="0"/>
          <w:sz w:val="27"/>
          <w:szCs w:val="27"/>
        </w:rPr>
        <w:t>见附件</w:t>
      </w: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p>
      <w:pPr>
        <w:keepNext w:val="0"/>
        <w:keepLines w:val="0"/>
        <w:pageBreakBefore w:val="0"/>
        <w:widowControl/>
        <w:kinsoku/>
        <w:wordWrap/>
        <w:overflowPunct/>
        <w:topLinePunct w:val="0"/>
        <w:autoSpaceDE/>
        <w:autoSpaceDN/>
        <w:bidi w:val="0"/>
        <w:spacing w:before="240" w:after="240" w:line="560" w:lineRule="atLeast"/>
        <w:jc w:val="left"/>
        <w:rPr>
          <w:rFonts w:ascii="Times New Roman" w:hAnsi="Times New Roman" w:eastAsia="Times New Roman" w:cs="Times New Roman"/>
          <w:kern w:val="0"/>
          <w:sz w:val="24"/>
        </w:rPr>
      </w:pPr>
    </w:p>
    <w:bookmarkEnd w:id="0"/>
    <w:p>
      <w:pPr>
        <w:keepNext w:val="0"/>
        <w:keepLines w:val="0"/>
        <w:pageBreakBefore w:val="0"/>
        <w:kinsoku/>
        <w:wordWrap/>
        <w:overflowPunct/>
        <w:topLinePunct w:val="0"/>
        <w:autoSpaceDE/>
        <w:autoSpaceDN/>
        <w:bidi w:val="0"/>
        <w:adjustRightInd w:val="0"/>
        <w:snapToGrid w:val="0"/>
        <w:spacing w:line="560" w:lineRule="atLeast"/>
        <w:rPr>
          <w:rFonts w:ascii="宋体" w:hAnsi="宋体"/>
          <w:b/>
          <w:sz w:val="32"/>
          <w:szCs w:val="32"/>
        </w:rPr>
      </w:pPr>
    </w:p>
    <w:p>
      <w:pPr>
        <w:keepNext w:val="0"/>
        <w:keepLines w:val="0"/>
        <w:pageBreakBefore w:val="0"/>
        <w:kinsoku/>
        <w:wordWrap/>
        <w:overflowPunct/>
        <w:topLinePunct w:val="0"/>
        <w:autoSpaceDE/>
        <w:autoSpaceDN/>
        <w:bidi w:val="0"/>
        <w:adjustRightInd w:val="0"/>
        <w:snapToGrid w:val="0"/>
        <w:spacing w:line="560" w:lineRule="atLeast"/>
        <w:rPr>
          <w:rFonts w:ascii="宋体" w:hAnsi="宋体"/>
          <w:b/>
          <w:sz w:val="32"/>
          <w:szCs w:val="32"/>
        </w:rPr>
      </w:pPr>
    </w:p>
    <w:p>
      <w:pPr>
        <w:keepNext w:val="0"/>
        <w:keepLines w:val="0"/>
        <w:pageBreakBefore w:val="0"/>
        <w:tabs>
          <w:tab w:val="left" w:pos="8415"/>
        </w:tabs>
        <w:kinsoku/>
        <w:wordWrap/>
        <w:overflowPunct/>
        <w:topLinePunct w:val="0"/>
        <w:autoSpaceDE/>
        <w:autoSpaceDN/>
        <w:bidi w:val="0"/>
        <w:spacing w:line="560" w:lineRule="atLeast"/>
      </w:pPr>
    </w:p>
    <w:sectPr>
      <w:footerReference r:id="rId4" w:type="default"/>
      <w:pgSz w:w="11906" w:h="16838"/>
      <w:pgMar w:top="2098" w:right="1417" w:bottom="1984" w:left="1587" w:header="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24</w:t>
    </w:r>
    <w:r>
      <w:rPr>
        <w:lang w:val="zh-CN"/>
      </w:rP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jMTgyYTBjYzhjYjQ1ODgxNDYzNWNhNzJhMjY1MzQ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1DF7C72"/>
    <w:rsid w:val="06220179"/>
    <w:rsid w:val="07497308"/>
    <w:rsid w:val="075861B9"/>
    <w:rsid w:val="0828581A"/>
    <w:rsid w:val="0C221FBD"/>
    <w:rsid w:val="0CC17789"/>
    <w:rsid w:val="0E703427"/>
    <w:rsid w:val="126D7855"/>
    <w:rsid w:val="14E11142"/>
    <w:rsid w:val="18895BA2"/>
    <w:rsid w:val="18BC0C15"/>
    <w:rsid w:val="19480D08"/>
    <w:rsid w:val="19E741E3"/>
    <w:rsid w:val="1A9530CE"/>
    <w:rsid w:val="1A9B6E43"/>
    <w:rsid w:val="1BB05003"/>
    <w:rsid w:val="1BB32165"/>
    <w:rsid w:val="20F5343A"/>
    <w:rsid w:val="223A0C59"/>
    <w:rsid w:val="236573A5"/>
    <w:rsid w:val="24616D30"/>
    <w:rsid w:val="24660F03"/>
    <w:rsid w:val="2B792014"/>
    <w:rsid w:val="2F8E66E4"/>
    <w:rsid w:val="30F54EA3"/>
    <w:rsid w:val="3A154D77"/>
    <w:rsid w:val="3FA41CF4"/>
    <w:rsid w:val="3FF01108"/>
    <w:rsid w:val="436D237B"/>
    <w:rsid w:val="4B00326D"/>
    <w:rsid w:val="4EB9288B"/>
    <w:rsid w:val="4F907055"/>
    <w:rsid w:val="51D908A5"/>
    <w:rsid w:val="51E22BA1"/>
    <w:rsid w:val="53907962"/>
    <w:rsid w:val="586659E0"/>
    <w:rsid w:val="5B6E0358"/>
    <w:rsid w:val="5C5879B9"/>
    <w:rsid w:val="5E4C2FB9"/>
    <w:rsid w:val="5FD135AF"/>
    <w:rsid w:val="621557C2"/>
    <w:rsid w:val="629648DD"/>
    <w:rsid w:val="63F80DC4"/>
    <w:rsid w:val="65800A0A"/>
    <w:rsid w:val="69F739BE"/>
    <w:rsid w:val="6B6D1D95"/>
    <w:rsid w:val="6C307424"/>
    <w:rsid w:val="6C7A4DE7"/>
    <w:rsid w:val="6F6142D3"/>
    <w:rsid w:val="72DA017D"/>
    <w:rsid w:val="77494BA8"/>
    <w:rsid w:val="7E156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uiPriority w:val="0"/>
    <w:pPr>
      <w:ind w:left="1260"/>
      <w:jc w:val="left"/>
    </w:pPr>
    <w:rPr>
      <w:sz w:val="20"/>
      <w:szCs w:val="20"/>
    </w:rPr>
  </w:style>
  <w:style w:type="paragraph" w:styleId="7">
    <w:name w:val="Document Map"/>
    <w:basedOn w:val="1"/>
    <w:uiPriority w:val="0"/>
    <w:pPr>
      <w:shd w:val="clear" w:color="auto" w:fill="000080"/>
    </w:pPr>
  </w:style>
  <w:style w:type="paragraph" w:styleId="8">
    <w:name w:val="toc 5"/>
    <w:basedOn w:val="1"/>
    <w:next w:val="1"/>
    <w:autoRedefine/>
    <w:uiPriority w:val="0"/>
    <w:pPr>
      <w:ind w:left="840"/>
      <w:jc w:val="left"/>
    </w:pPr>
    <w:rPr>
      <w:sz w:val="20"/>
      <w:szCs w:val="20"/>
    </w:rPr>
  </w:style>
  <w:style w:type="paragraph" w:styleId="9">
    <w:name w:val="toc 3"/>
    <w:basedOn w:val="1"/>
    <w:next w:val="1"/>
    <w:uiPriority w:val="0"/>
    <w:pPr>
      <w:adjustRightInd w:val="0"/>
      <w:snapToGrid w:val="0"/>
      <w:spacing w:line="360" w:lineRule="auto"/>
      <w:ind w:firstLine="400" w:firstLineChars="400"/>
      <w:jc w:val="left"/>
    </w:pPr>
    <w:rPr>
      <w:sz w:val="24"/>
      <w:szCs w:val="20"/>
    </w:rPr>
  </w:style>
  <w:style w:type="paragraph" w:styleId="10">
    <w:name w:val="toc 8"/>
    <w:basedOn w:val="1"/>
    <w:next w:val="1"/>
    <w:autoRedefine/>
    <w:uiPriority w:val="0"/>
    <w:pPr>
      <w:ind w:left="1470"/>
      <w:jc w:val="left"/>
    </w:pPr>
    <w:rPr>
      <w:sz w:val="20"/>
      <w:szCs w:val="20"/>
    </w:rPr>
  </w:style>
  <w:style w:type="paragraph" w:styleId="11">
    <w:name w:val="footer"/>
    <w:basedOn w:val="1"/>
    <w:link w:val="25"/>
    <w:uiPriority w:val="0"/>
    <w:pPr>
      <w:tabs>
        <w:tab w:val="center" w:pos="4153"/>
        <w:tab w:val="right" w:pos="8306"/>
      </w:tabs>
      <w:snapToGrid w:val="0"/>
      <w:jc w:val="left"/>
    </w:pPr>
    <w:rPr>
      <w:sz w:val="18"/>
      <w:szCs w:val="18"/>
    </w:rPr>
  </w:style>
  <w:style w:type="paragraph" w:styleId="1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autoRedefine/>
    <w:uiPriority w:val="0"/>
    <w:pPr>
      <w:ind w:left="630"/>
      <w:jc w:val="left"/>
    </w:pPr>
    <w:rPr>
      <w:sz w:val="20"/>
      <w:szCs w:val="20"/>
    </w:rPr>
  </w:style>
  <w:style w:type="paragraph" w:styleId="15">
    <w:name w:val="toc 6"/>
    <w:basedOn w:val="1"/>
    <w:next w:val="1"/>
    <w:autoRedefine/>
    <w:uiPriority w:val="0"/>
    <w:pPr>
      <w:ind w:left="1050"/>
      <w:jc w:val="left"/>
    </w:pPr>
    <w:rPr>
      <w:sz w:val="20"/>
      <w:szCs w:val="20"/>
    </w:rPr>
  </w:style>
  <w:style w:type="paragraph" w:styleId="16">
    <w:name w:val="toc 2"/>
    <w:basedOn w:val="1"/>
    <w:next w:val="1"/>
    <w:uiPriority w:val="0"/>
    <w:pPr>
      <w:adjustRightInd w:val="0"/>
      <w:snapToGrid w:val="0"/>
      <w:spacing w:line="360" w:lineRule="auto"/>
      <w:ind w:firstLine="200" w:firstLineChars="200"/>
      <w:jc w:val="left"/>
    </w:pPr>
    <w:rPr>
      <w:iCs/>
      <w:sz w:val="24"/>
      <w:szCs w:val="20"/>
    </w:rPr>
  </w:style>
  <w:style w:type="paragraph" w:styleId="17">
    <w:name w:val="toc 9"/>
    <w:basedOn w:val="1"/>
    <w:next w:val="1"/>
    <w:autoRedefine/>
    <w:uiPriority w:val="0"/>
    <w:pPr>
      <w:ind w:left="1680"/>
      <w:jc w:val="left"/>
    </w:pPr>
    <w:rPr>
      <w:sz w:val="20"/>
      <w:szCs w:val="20"/>
    </w:rPr>
  </w:style>
  <w:style w:type="character" w:styleId="20">
    <w:name w:val="page number"/>
    <w:basedOn w:val="19"/>
    <w:uiPriority w:val="0"/>
  </w:style>
  <w:style w:type="character" w:styleId="21">
    <w:name w:val="Hyperlink"/>
    <w:basedOn w:val="19"/>
    <w:uiPriority w:val="0"/>
    <w:rPr>
      <w:color w:val="0000FF"/>
      <w:u w:val="single"/>
    </w:rPr>
  </w:style>
  <w:style w:type="character" w:customStyle="1" w:styleId="22">
    <w:name w:val="标题 4 字符"/>
    <w:basedOn w:val="19"/>
    <w:link w:val="5"/>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locked/>
    <w:uiPriority w:val="0"/>
    <w:rPr>
      <w:rFonts w:eastAsia="仿宋_GB2312"/>
      <w:sz w:val="30"/>
      <w:szCs w:val="22"/>
      <w:lang w:bidi="ar-SA"/>
    </w:rPr>
  </w:style>
  <w:style w:type="character" w:customStyle="1" w:styleId="25">
    <w:name w:val="页脚 字符"/>
    <w:basedOn w:val="19"/>
    <w:link w:val="11"/>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收入占比</a:t>
            </a:r>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本年一般公共预算财政拨款收入</c:v>
                </c:pt>
              </c:strCache>
            </c:strRef>
          </c:cat>
          <c:val>
            <c:numRef>
              <c:f>Sheet1!$B$2:$B$5</c:f>
              <c:numCache>
                <c:formatCode>0%</c:formatCode>
                <c:ptCount val="4"/>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egendEntry>
        <c:idx val="1"/>
        <c:delete val="1"/>
      </c:legendEntry>
      <c:legendEntry>
        <c:idx val="2"/>
        <c:delete val="1"/>
      </c:legendEntry>
      <c:legendEntry>
        <c:idx val="3"/>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支出占比</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0.6654</c:v>
                </c:pt>
                <c:pt idx="1">
                  <c:v>0.3346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egendEntry>
        <c:idx val="2"/>
        <c:delete val="1"/>
      </c:legendEntry>
      <c:legendEntry>
        <c:idx val="3"/>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22</Words>
  <Characters>130</Characters>
  <Lines>1</Lines>
  <Paragraphs>1</Paragraphs>
  <TotalTime>2</TotalTime>
  <ScaleCrop>false</ScaleCrop>
  <LinksUpToDate>false</LinksUpToDate>
  <CharactersWithSpaces>151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2021-04-16T00:45:00Z</cp:lastPrinted>
  <dcterms:modified xsi:type="dcterms:W3CDTF">2024-08-29T07:36:22Z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B859192FDB6644F0BEE9C5DFC01BF556_12</vt:lpwstr>
  </property>
</Properties>
</file>