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年度内蒙古自治区人民医院附属卫校</w:t>
      </w:r>
    </w:p>
    <w:p>
      <w:pPr>
        <w:spacing w:line="360" w:lineRule="auto"/>
        <w:jc w:val="center"/>
        <w:rPr>
          <w:rFonts w:ascii="宋体" w:hAnsi="宋体"/>
          <w:b/>
          <w:bCs/>
          <w:sz w:val="52"/>
          <w:szCs w:val="52"/>
        </w:rPr>
      </w:pPr>
      <w:r>
        <w:rPr>
          <w:rFonts w:hint="eastAsia" w:ascii="宋体" w:hAnsi="宋体"/>
          <w:b/>
          <w:bCs/>
          <w:sz w:val="52"/>
          <w:szCs w:val="52"/>
        </w:rPr>
        <w:t>公开文档</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rPr>
        <w:t>单位名称：内蒙古自治区人民医院附属卫校</w:t>
      </w:r>
    </w:p>
    <w:p>
      <w:pPr>
        <w:spacing w:line="360" w:lineRule="auto"/>
        <w:ind w:firstLine="2240" w:firstLineChars="700"/>
        <w:jc w:val="left"/>
        <w:rPr>
          <w:rFonts w:ascii="宋体" w:hAnsi="宋体"/>
          <w:sz w:val="32"/>
          <w:szCs w:val="32"/>
        </w:rPr>
      </w:pPr>
      <w:r>
        <w:rPr>
          <w:rFonts w:hint="eastAsia" w:ascii="宋体" w:hAnsi="宋体"/>
          <w:sz w:val="32"/>
          <w:szCs w:val="32"/>
        </w:rPr>
        <w:t>单位负责人：姜海燕</w:t>
      </w:r>
    </w:p>
    <w:p>
      <w:pPr>
        <w:spacing w:line="360" w:lineRule="auto"/>
        <w:ind w:firstLine="2240" w:firstLineChars="700"/>
        <w:jc w:val="left"/>
        <w:rPr>
          <w:rFonts w:ascii="宋体" w:hAnsi="宋体"/>
          <w:sz w:val="32"/>
          <w:szCs w:val="32"/>
        </w:rPr>
      </w:pPr>
      <w:r>
        <w:rPr>
          <w:rFonts w:hint="eastAsia" w:ascii="宋体" w:hAnsi="宋体"/>
          <w:sz w:val="32"/>
          <w:szCs w:val="32"/>
        </w:rPr>
        <w:t>财务负责人：王培峰</w:t>
      </w:r>
    </w:p>
    <w:p>
      <w:pPr>
        <w:spacing w:line="360" w:lineRule="auto"/>
        <w:ind w:firstLine="2240" w:firstLineChars="700"/>
        <w:jc w:val="left"/>
        <w:rPr>
          <w:rFonts w:ascii="宋体" w:hAnsi="宋体"/>
          <w:sz w:val="32"/>
          <w:szCs w:val="32"/>
        </w:rPr>
      </w:pPr>
      <w:r>
        <w:rPr>
          <w:rFonts w:hint="eastAsia" w:ascii="宋体" w:hAnsi="宋体"/>
          <w:sz w:val="32"/>
          <w:szCs w:val="32"/>
        </w:rPr>
        <w:t>编制人：王昕阳</w:t>
      </w:r>
    </w:p>
    <w:p>
      <w:pPr>
        <w:spacing w:line="360" w:lineRule="auto"/>
        <w:ind w:firstLine="2240" w:firstLineChars="700"/>
        <w:jc w:val="left"/>
        <w:rPr>
          <w:rFonts w:hint="default" w:ascii="仿宋" w:hAnsi="仿宋" w:eastAsia="宋体"/>
          <w:b/>
          <w:sz w:val="32"/>
          <w:szCs w:val="32"/>
          <w:lang w:val="en-US" w:eastAsia="zh-CN"/>
        </w:rPr>
        <w:sectPr>
          <w:footerReference r:id="rId3" w:type="default"/>
          <w:pgSz w:w="11906" w:h="16838"/>
          <w:pgMar w:top="1440" w:right="1083" w:bottom="1440" w:left="1083" w:header="0" w:footer="720" w:gutter="0"/>
          <w:cols w:space="425" w:num="1"/>
          <w:docGrid w:type="lines" w:linePitch="312" w:charSpace="0"/>
        </w:sect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年8月</w:t>
      </w:r>
      <w:r>
        <w:rPr>
          <w:rFonts w:hint="eastAsia" w:ascii="宋体" w:hAnsi="宋体"/>
          <w:sz w:val="32"/>
          <w:szCs w:val="32"/>
          <w:lang w:val="en-US" w:eastAsia="zh-CN"/>
        </w:rPr>
        <w:t xml:space="preserve">   </w:t>
      </w:r>
    </w:p>
    <w:p>
      <w:pPr>
        <w:widowControl/>
        <w:spacing w:after="240"/>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widowControl/>
        <w:spacing w:before="240" w:after="240"/>
        <w:jc w:val="left"/>
        <w:rPr>
          <w:rFonts w:ascii="Times New Roman" w:hAnsi="Times New Roman" w:eastAsia="Times New Roman" w:cs="Times New Roman"/>
          <w:kern w:val="0"/>
          <w:sz w:val="32"/>
          <w:szCs w:val="32"/>
        </w:rPr>
      </w:pPr>
      <w:r>
        <w:rPr>
          <w:rFonts w:ascii="黑体" w:hAnsi="黑体" w:eastAsia="黑体" w:cs="黑体"/>
          <w:kern w:val="0"/>
          <w:sz w:val="32"/>
          <w:szCs w:val="32"/>
        </w:rPr>
        <w:t>第一部分 单位概况</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一、主要职能、职责</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二、单位机构设置及决算单位构成情况</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三、2023年度单位主要工作完成情况</w:t>
      </w:r>
    </w:p>
    <w:p>
      <w:pPr>
        <w:widowControl/>
        <w:spacing w:before="240" w:after="240"/>
        <w:jc w:val="left"/>
        <w:rPr>
          <w:rFonts w:ascii="Times New Roman" w:hAnsi="Times New Roman" w:eastAsia="Times New Roman" w:cs="Times New Roman"/>
          <w:kern w:val="0"/>
          <w:sz w:val="32"/>
          <w:szCs w:val="32"/>
        </w:rPr>
      </w:pPr>
      <w:r>
        <w:rPr>
          <w:rFonts w:ascii="黑体" w:hAnsi="黑体" w:eastAsia="黑体" w:cs="黑体"/>
          <w:kern w:val="0"/>
          <w:sz w:val="32"/>
          <w:szCs w:val="32"/>
        </w:rPr>
        <w:t>第二部分 单位决算情况说明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一、收入支出决算总体情况说明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二、收入决算情况说明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三、支出决算情况说明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四、财政拨款收入支出决算总体情况说明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五、一般公共预算财政拨款支出决算情况说明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六、一般公共预算财政拨款基本支出决算情况说明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七、一般公共预算财政拨款项目支出决算情况说明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八、财政拨款“三公”经费支出决算情况说明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九、政府性基金预算财政拨款支出决算情况说明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十、国有资本经营预算财政拨款支出决算情况说明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十一、机构运行经费支出决算情况说明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十二、政府采购支出决算情况说明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十三、国有资产占用情况说明</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十四、预算绩效情况说明</w:t>
      </w:r>
    </w:p>
    <w:p>
      <w:pPr>
        <w:widowControl/>
        <w:spacing w:before="240" w:after="240"/>
        <w:jc w:val="left"/>
        <w:rPr>
          <w:rFonts w:ascii="Times New Roman" w:hAnsi="Times New Roman" w:eastAsia="Times New Roman" w:cs="Times New Roman"/>
          <w:kern w:val="0"/>
          <w:sz w:val="32"/>
          <w:szCs w:val="32"/>
        </w:rPr>
      </w:pPr>
      <w:r>
        <w:rPr>
          <w:rFonts w:ascii="黑体" w:hAnsi="黑体" w:eastAsia="黑体" w:cs="黑体"/>
          <w:kern w:val="0"/>
          <w:sz w:val="32"/>
          <w:szCs w:val="32"/>
        </w:rPr>
        <w:t>第三部分 名词解释</w:t>
      </w:r>
    </w:p>
    <w:p>
      <w:pPr>
        <w:widowControl/>
        <w:spacing w:before="240" w:after="240"/>
        <w:jc w:val="left"/>
        <w:rPr>
          <w:rFonts w:ascii="Times New Roman" w:hAnsi="Times New Roman" w:eastAsia="Times New Roman" w:cs="Times New Roman"/>
          <w:kern w:val="0"/>
          <w:sz w:val="32"/>
          <w:szCs w:val="32"/>
        </w:rPr>
      </w:pPr>
      <w:r>
        <w:rPr>
          <w:rFonts w:ascii="黑体" w:hAnsi="黑体" w:eastAsia="黑体" w:cs="黑体"/>
          <w:kern w:val="0"/>
          <w:sz w:val="32"/>
          <w:szCs w:val="32"/>
        </w:rPr>
        <w:t>第四部分 决算公开联系方式及信息反馈渠道</w:t>
      </w:r>
    </w:p>
    <w:p>
      <w:pPr>
        <w:widowControl/>
        <w:spacing w:before="240" w:after="240"/>
        <w:jc w:val="left"/>
        <w:rPr>
          <w:rFonts w:ascii="Times New Roman" w:hAnsi="Times New Roman" w:eastAsia="Times New Roman" w:cs="Times New Roman"/>
          <w:kern w:val="0"/>
          <w:sz w:val="32"/>
          <w:szCs w:val="32"/>
        </w:rPr>
      </w:pPr>
      <w:r>
        <w:rPr>
          <w:rFonts w:ascii="黑体" w:hAnsi="黑体" w:eastAsia="黑体" w:cs="黑体"/>
          <w:kern w:val="0"/>
          <w:sz w:val="32"/>
          <w:szCs w:val="32"/>
        </w:rPr>
        <w:t>第五部分 单位决算表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一、收入支出决算总表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二、收入决算表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三、支出决算表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四、财政拨款收入支出决算总表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五、一般公共预算财政拨款支出决算表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六、一般公共预算财政拨款基本支出决算明细表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七、一般公共预算财政拨款项目支出决算明细表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八、政府性基金预算财政拨款收入支出决算表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九、国有资本经营预算财政拨款支出决算表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十、财政拨款“三公”经费支出决算表</w:t>
      </w:r>
    </w:p>
    <w:p>
      <w:pPr>
        <w:widowControl/>
        <w:spacing w:before="240" w:after="240"/>
        <w:jc w:val="left"/>
        <w:rPr>
          <w:rFonts w:hint="eastAsia" w:ascii="仿宋" w:hAnsi="仿宋" w:eastAsia="仿宋" w:cs="仿宋"/>
          <w:kern w:val="0"/>
          <w:sz w:val="32"/>
          <w:szCs w:val="32"/>
        </w:rPr>
      </w:pPr>
      <w:r>
        <w:rPr>
          <w:rFonts w:hint="eastAsia" w:ascii="仿宋" w:hAnsi="仿宋" w:eastAsia="仿宋" w:cs="仿宋"/>
          <w:kern w:val="0"/>
          <w:sz w:val="32"/>
          <w:szCs w:val="32"/>
        </w:rPr>
        <w:t>十一、机构运行经费支出、国有资产占用情况及政府采购支出信息表</w:t>
      </w:r>
    </w:p>
    <w:p>
      <w:pPr>
        <w:widowControl/>
        <w:spacing w:before="240" w:after="240"/>
        <w:rPr>
          <w:rFonts w:ascii="Times New Roman" w:hAnsi="Times New Roman" w:eastAsia="Times New Roman" w:cs="Times New Roman"/>
          <w:kern w:val="0"/>
          <w:sz w:val="32"/>
          <w:szCs w:val="32"/>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center"/>
        <w:rPr>
          <w:rFonts w:ascii="fang_zheng_xiao_biao_song_ti" w:hAnsi="fang_zheng_xiao_biao_song_ti" w:eastAsia="fang_zheng_xiao_biao_song_ti" w:cs="fang_zheng_xiao_biao_song_ti"/>
          <w:b/>
          <w:bCs/>
          <w:color w:val="000000"/>
          <w:kern w:val="0"/>
          <w:sz w:val="36"/>
          <w:szCs w:val="36"/>
        </w:rPr>
      </w:pPr>
    </w:p>
    <w:p>
      <w:pPr>
        <w:widowControl/>
        <w:spacing w:before="240" w:after="240"/>
        <w:jc w:val="both"/>
        <w:rPr>
          <w:rFonts w:ascii="fang_zheng_xiao_biao_song_ti" w:hAnsi="fang_zheng_xiao_biao_song_ti" w:eastAsia="fang_zheng_xiao_biao_song_ti" w:cs="fang_zheng_xiao_biao_song_ti"/>
          <w:b/>
          <w:bCs/>
          <w:color w:val="000000"/>
          <w:kern w:val="0"/>
          <w:sz w:val="36"/>
          <w:szCs w:val="36"/>
        </w:rPr>
      </w:pPr>
    </w:p>
    <w:p>
      <w:pPr>
        <w:keepNext w:val="0"/>
        <w:keepLines w:val="0"/>
        <w:pageBreakBefore w:val="0"/>
        <w:widowControl/>
        <w:kinsoku/>
        <w:wordWrap/>
        <w:overflowPunct/>
        <w:topLinePunct w:val="0"/>
        <w:autoSpaceDE/>
        <w:autoSpaceDN/>
        <w:bidi w:val="0"/>
        <w:adjustRightInd/>
        <w:snapToGrid/>
        <w:spacing w:before="240" w:after="240" w:line="560" w:lineRule="exact"/>
        <w:jc w:val="center"/>
        <w:textAlignment w:val="auto"/>
        <w:rPr>
          <w:rFonts w:hint="eastAsia" w:ascii="黑体" w:hAnsi="黑体" w:eastAsia="黑体" w:cs="黑体"/>
          <w:kern w:val="0"/>
          <w:sz w:val="24"/>
        </w:rPr>
      </w:pPr>
      <w:r>
        <w:rPr>
          <w:rFonts w:hint="eastAsia" w:ascii="黑体" w:hAnsi="黑体" w:eastAsia="黑体" w:cs="黑体"/>
          <w:b/>
          <w:bCs/>
          <w:color w:val="000000"/>
          <w:kern w:val="0"/>
          <w:sz w:val="36"/>
          <w:szCs w:val="36"/>
        </w:rPr>
        <w:t>第一部分 单位概况</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32"/>
          <w:szCs w:val="32"/>
        </w:rPr>
        <w:t> </w:t>
      </w:r>
      <w:r>
        <w:rPr>
          <w:rFonts w:ascii="黑体" w:hAnsi="黑体" w:eastAsia="黑体" w:cs="黑体"/>
          <w:b/>
          <w:bCs/>
          <w:kern w:val="0"/>
          <w:sz w:val="32"/>
          <w:szCs w:val="32"/>
        </w:rPr>
        <w:t xml:space="preserve"> 一、主要职能、职责</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ascii="fang_song_gb2312" w:hAnsi="fang_song_gb2312" w:eastAsia="fang_song_gb2312" w:cs="fang_song_gb2312"/>
          <w:color w:val="0E00FE"/>
          <w:kern w:val="0"/>
          <w:sz w:val="27"/>
          <w:szCs w:val="27"/>
        </w:rPr>
        <w:t>   </w:t>
      </w:r>
      <w:r>
        <w:rPr>
          <w:rFonts w:hint="eastAsia" w:ascii="仿宋" w:hAnsi="仿宋" w:eastAsia="仿宋" w:cs="仿宋"/>
          <w:kern w:val="0"/>
          <w:sz w:val="32"/>
          <w:szCs w:val="32"/>
        </w:rPr>
        <w:t xml:space="preserve"> </w:t>
      </w:r>
      <w:r>
        <w:rPr>
          <w:rFonts w:hint="eastAsia" w:ascii="仿宋" w:hAnsi="仿宋" w:eastAsia="仿宋" w:cs="仿宋"/>
          <w:kern w:val="0"/>
          <w:sz w:val="32"/>
          <w:szCs w:val="32"/>
          <w:lang w:val="en-US" w:eastAsia="zh-CN"/>
        </w:rPr>
        <w:t xml:space="preserve"> </w:t>
      </w:r>
      <w:r>
        <w:rPr>
          <w:rFonts w:hint="eastAsia" w:ascii="黑体" w:hAnsi="黑体" w:eastAsia="黑体" w:cs="黑体"/>
          <w:kern w:val="2"/>
          <w:sz w:val="32"/>
          <w:szCs w:val="32"/>
          <w:highlight w:val="none"/>
          <w:lang w:val="en-US" w:eastAsia="zh-CN"/>
        </w:rPr>
        <w:t>1.单位主要职能</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内蒙古自治区人民医院附属卫校是一所正处级全日制普通中等专业学校，始建于一九五九年， 占地近 5 亩，现有一座教学楼一座宿舍楼共计 6124㎡ 。学校编制64人，现有在编教职工9名,其中教学人员8名，工勤1人。学校曾办过10多个专业,现有中专护理、医学影像两个专业，同时还与乌兰察布高等医学专科学校合作办学，自建校以来毕业生达到数万名。</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黑体" w:hAnsi="黑体" w:eastAsia="黑体" w:cs="黑体"/>
          <w:kern w:val="2"/>
          <w:sz w:val="32"/>
          <w:szCs w:val="32"/>
          <w:highlight w:val="none"/>
          <w:lang w:val="en-US" w:eastAsia="zh-CN"/>
        </w:rPr>
      </w:pPr>
      <w:r>
        <w:rPr>
          <w:rFonts w:hint="eastAsia" w:ascii="黑体" w:hAnsi="黑体" w:eastAsia="黑体" w:cs="黑体"/>
          <w:kern w:val="2"/>
          <w:sz w:val="32"/>
          <w:szCs w:val="32"/>
          <w:highlight w:val="none"/>
          <w:lang w:val="en-US" w:eastAsia="zh-CN"/>
        </w:rPr>
        <w:t>2.单位主要职责</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学校属于处级事业单位，有一个开拓进取的领导班子和一 支高素质的教学队伍。学校利用双休日开展的第二课堂活动丰富多彩，在全区卫校率先开设了人文学科。 建校60余年，先后培养了近 9000多名医护人员，学生分布在区内外，为广大患者服务，尤其是护理专业毕业生，多数在各大医院工作，并成为护理队伍中的骨干力量，在各级党政领导的关怀支持帮助下，学校认真贯彻“一纲三法 ”，注重师资队伍的建设，教学质量不断提高。坚持把德育工作放在首位，注重政治思想教育和管理工作，形成“敬业、团结、勤奋、求实、创新的的校风，并以“尊师爱生，无德不医 ”作为校训。在教学上，充分利用了内蒙古医院这所三级甲等医院、全国百佳医院、全  国老百姓放心医院的技术力量和先进设备。学生的见习、毕业实习基本由医院承担，同时与内蒙古中蒙医院、精神卫生中心、 妇幼保健医院、胸科医院、铁路中心医院以及武警内蒙古356  医院、包头一机厂职工医院、呼和浩特市医院、内蒙古饭店先  后建立了实习网络。教学机构健全并有一支素质较高稳定的专  兼职师资队伍。 学校办学的宗旨是：认真贯彻党和国家的教   育方针和卫生工作方针，坚持教育面向世界，面向未来，面向  现代化的办学方向，遵循教学规律，在提高教育教学质量的同  时，逐步改善办学条件，充分发挥医院办学的优势，校领导本  着：人才是根本，特色是活力，质量是生命，管理是关键的办  学思路，大胆坚持依照人才市场需求多层次多渠道办学，设法  打开学生就业门路，广泛择优推荐学生的举措，为培养德智体全面发展的复合型的实用人才而努力奋斗。</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黑体" w:hAnsi="黑体" w:eastAsia="黑体" w:cs="黑体"/>
          <w:kern w:val="2"/>
          <w:sz w:val="32"/>
          <w:szCs w:val="32"/>
          <w:highlight w:val="none"/>
          <w:lang w:val="en-US" w:eastAsia="zh-CN"/>
        </w:rPr>
        <w:t>二、单位机构设置及决算单位构成情况</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1.内蒙古自治区人民医院附属卫校是一所全日制中等职业技术学校。现有中专护理、医学影像两个专业，本单位无下级预算单位，本报告仅反映本单位自身决算情况。</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2.从决算单位构成看，纳入本单位 2023年单位汇决算编制范围的预算单位共计 1 家，详细情况见表：</w:t>
      </w:r>
    </w:p>
    <w:p>
      <w:pPr>
        <w:keepNext w:val="0"/>
        <w:keepLines w:val="0"/>
        <w:pageBreakBefore w:val="0"/>
        <w:widowControl/>
        <w:numPr>
          <w:ilvl w:val="0"/>
          <w:numId w:val="0"/>
        </w:numPr>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p>
    <w:tbl>
      <w:tblPr>
        <w:tblStyle w:val="30"/>
        <w:tblpPr w:leftFromText="180" w:rightFromText="180" w:vertAnchor="text" w:horzAnchor="page" w:tblpX="1749" w:tblpY="-83"/>
        <w:tblOverlap w:val="never"/>
        <w:tblW w:w="5034"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4"/>
        <w:gridCol w:w="3432"/>
        <w:gridCol w:w="45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57" w:hRule="atLeast"/>
        </w:trPr>
        <w:tc>
          <w:tcPr>
            <w:tcW w:w="674" w:type="dxa"/>
            <w:textDirection w:val="tbRlV"/>
            <w:vAlign w:val="top"/>
          </w:tcPr>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p>
        </w:tc>
        <w:tc>
          <w:tcPr>
            <w:tcW w:w="3432" w:type="dxa"/>
            <w:vAlign w:val="top"/>
          </w:tcPr>
          <w:p>
            <w:pPr>
              <w:keepNext w:val="0"/>
              <w:keepLines w:val="0"/>
              <w:pageBreakBefore w:val="0"/>
              <w:widowControl/>
              <w:kinsoku/>
              <w:wordWrap/>
              <w:overflowPunct/>
              <w:topLinePunct w:val="0"/>
              <w:autoSpaceDE/>
              <w:autoSpaceDN/>
              <w:bidi w:val="0"/>
              <w:adjustRightInd/>
              <w:snapToGrid/>
              <w:spacing w:before="240" w:after="240" w:line="560" w:lineRule="exact"/>
              <w:jc w:val="center"/>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单位名称</w:t>
            </w:r>
          </w:p>
        </w:tc>
        <w:tc>
          <w:tcPr>
            <w:tcW w:w="4509" w:type="dxa"/>
            <w:vAlign w:val="top"/>
          </w:tcPr>
          <w:p>
            <w:pPr>
              <w:keepNext w:val="0"/>
              <w:keepLines w:val="0"/>
              <w:pageBreakBefore w:val="0"/>
              <w:widowControl/>
              <w:kinsoku/>
              <w:wordWrap/>
              <w:overflowPunct/>
              <w:topLinePunct w:val="0"/>
              <w:autoSpaceDE/>
              <w:autoSpaceDN/>
              <w:bidi w:val="0"/>
              <w:adjustRightInd/>
              <w:snapToGrid/>
              <w:spacing w:before="240" w:after="240" w:line="560" w:lineRule="exact"/>
              <w:jc w:val="center"/>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单位性质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08" w:hRule="atLeast"/>
        </w:trPr>
        <w:tc>
          <w:tcPr>
            <w:tcW w:w="674" w:type="dxa"/>
            <w:vAlign w:val="top"/>
          </w:tcPr>
          <w:p>
            <w:pPr>
              <w:keepNext w:val="0"/>
              <w:keepLines w:val="0"/>
              <w:pageBreakBefore w:val="0"/>
              <w:widowControl/>
              <w:kinsoku/>
              <w:wordWrap/>
              <w:overflowPunct/>
              <w:topLinePunct w:val="0"/>
              <w:autoSpaceDE/>
              <w:autoSpaceDN/>
              <w:bidi w:val="0"/>
              <w:adjustRightInd/>
              <w:snapToGrid/>
              <w:spacing w:before="240" w:after="240" w:line="560" w:lineRule="exact"/>
              <w:jc w:val="center"/>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1</w:t>
            </w:r>
          </w:p>
        </w:tc>
        <w:tc>
          <w:tcPr>
            <w:tcW w:w="3432" w:type="dxa"/>
            <w:vAlign w:val="top"/>
          </w:tcPr>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内蒙古自治区人民医院 附属卫校</w:t>
            </w:r>
          </w:p>
        </w:tc>
        <w:tc>
          <w:tcPr>
            <w:tcW w:w="4509" w:type="dxa"/>
            <w:vAlign w:val="top"/>
          </w:tcPr>
          <w:p>
            <w:pPr>
              <w:keepNext w:val="0"/>
              <w:keepLines w:val="0"/>
              <w:pageBreakBefore w:val="0"/>
              <w:widowControl/>
              <w:kinsoku/>
              <w:wordWrap/>
              <w:overflowPunct/>
              <w:topLinePunct w:val="0"/>
              <w:autoSpaceDE/>
              <w:autoSpaceDN/>
              <w:bidi w:val="0"/>
              <w:adjustRightInd/>
              <w:snapToGrid/>
              <w:spacing w:before="240" w:after="240" w:line="560" w:lineRule="exact"/>
              <w:jc w:val="center"/>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公益一类事业单位</w:t>
            </w:r>
          </w:p>
        </w:tc>
      </w:tr>
    </w:tbl>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jc w:val="left"/>
        <w:textAlignment w:val="auto"/>
        <w:rPr>
          <w:rFonts w:ascii="Times New Roman" w:hAnsi="Times New Roman" w:eastAsia="Times New Roman" w:cs="Times New Roman"/>
          <w:b w:val="0"/>
          <w:bCs w:val="0"/>
          <w:kern w:val="0"/>
          <w:sz w:val="32"/>
          <w:szCs w:val="32"/>
        </w:rPr>
      </w:pPr>
      <w:r>
        <w:rPr>
          <w:rFonts w:ascii="黑体" w:hAnsi="黑体" w:eastAsia="黑体" w:cs="黑体"/>
          <w:b w:val="0"/>
          <w:bCs w:val="0"/>
          <w:kern w:val="0"/>
          <w:sz w:val="32"/>
          <w:szCs w:val="32"/>
        </w:rPr>
        <w:t>三、2023年度单位主要工作完成情况</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jc w:val="left"/>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(一）加强党政管理，提高工作效率</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1.按照医院党委的布置和安排，学校党支部在全体党员中 深入开展学习教育活动，使全体党员、干部以史为鉴，开拓进 取，思想进一步提高，作风进一步转变，全面学习党的二十大精神，党群干群关系进一步密切。</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2.严格劳动纪律，学校行政工作有计划、有总结，并按月 落实，每周均有安排。学校行政工作的计划和协调，保证了学校工作的有序进行，提高了工作效率。</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3.按照国家及自治区政策要求，完善教职工养老、工伤、 失业、医疗保险相关工作。做好退休人员的养老保险对接等相关工作。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4.做好教职工的年度考核、正常晋级及职称调整等涉及教职工切身利益的各项工作。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5.学校近年来坚持“减少招生数量，提高培养质量，拓宽  办学渠道，开办特色专业 ”的原则 ，充分依托医院实习基地优 势，在办好护理专业的同时继续和乌兰察布医学高等专科学校合办医学影像技术（专科）专业。</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6.学校团委工作，结合实际情况，组织带领全体团员学生开展了系列活动，并完成所担相关本职工作。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7.认真完成中等职业学校助学金和免学费的上报和认定工作。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jc w:val="left"/>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(二）提高教学质量，全面完成教学任务</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1.教学安排及教师聘任</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2.完成教师工作量统计</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3.考务工作及成绩管理</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4.落实了生产实习</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5.完成上岗证考试报名工作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6.其它工作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jc w:val="left"/>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（三）加强学生管理，丰富校园文化生活</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1.严格学生管理，抓好校纪校风</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2.鼓励先进，树立典型，积极做好评优选先工作。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3.完成了每年学生宿舍的安排和调整工作以及各教室、宿舍卫生的检查和布置工作，抓好学生日常安全检查和督促工作。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4.充分发挥学生干部的作用，指导学生会开展各项工作， 通过举办活动锻炼和提高了学生干部的工作能力，加强了师生间的相互沟通和联系，并完成了新一届学生会换届选举工作。</w:t>
      </w:r>
    </w:p>
    <w:p>
      <w:pPr>
        <w:pStyle w:val="5"/>
        <w:keepNext w:val="0"/>
        <w:keepLines w:val="0"/>
        <w:pageBreakBefore w:val="0"/>
        <w:widowControl/>
        <w:kinsoku/>
        <w:wordWrap/>
        <w:overflowPunct/>
        <w:topLinePunct w:val="0"/>
        <w:autoSpaceDE/>
        <w:autoSpaceDN/>
        <w:bidi w:val="0"/>
        <w:adjustRightInd/>
        <w:snapToGrid/>
        <w:spacing w:before="299" w:after="299" w:line="560" w:lineRule="exact"/>
        <w:jc w:val="center"/>
        <w:textAlignment w:val="auto"/>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rPr>
        <w:t>第二部分  单位决算情况说明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黑体" w:hAnsi="黑体" w:eastAsia="黑体" w:cs="黑体"/>
          <w:b w:val="0"/>
          <w:bCs w:val="0"/>
          <w:kern w:val="0"/>
          <w:sz w:val="32"/>
          <w:szCs w:val="32"/>
          <w:highlight w:val="none"/>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ascii="黑体" w:hAnsi="黑体" w:eastAsia="黑体" w:cs="黑体"/>
          <w:b/>
          <w:bCs/>
          <w:kern w:val="0"/>
          <w:sz w:val="32"/>
          <w:szCs w:val="32"/>
          <w:highlight w:val="none"/>
        </w:rPr>
        <w:t> </w:t>
      </w:r>
      <w:r>
        <w:rPr>
          <w:rFonts w:hint="eastAsia" w:ascii="黑体" w:hAnsi="黑体" w:eastAsia="黑体" w:cs="黑体"/>
          <w:b w:val="0"/>
          <w:bCs w:val="0"/>
          <w:kern w:val="0"/>
          <w:sz w:val="32"/>
          <w:szCs w:val="32"/>
          <w:highlight w:val="none"/>
        </w:rPr>
        <w:t xml:space="preserve"> 一、收入支出决算总体情况说明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ascii="fang_song_gb2312" w:hAnsi="fang_song_gb2312" w:eastAsia="fang_song_gb2312" w:cs="fang_song_gb2312"/>
          <w:kern w:val="0"/>
          <w:sz w:val="27"/>
          <w:szCs w:val="27"/>
        </w:rPr>
        <w:t>   </w:t>
      </w:r>
      <w:r>
        <w:rPr>
          <w:rFonts w:hint="eastAsia" w:ascii="仿宋" w:hAnsi="仿宋" w:eastAsia="仿宋" w:cs="仿宋"/>
          <w:kern w:val="0"/>
          <w:sz w:val="32"/>
          <w:szCs w:val="32"/>
        </w:rPr>
        <w:t xml:space="preserve"> </w:t>
      </w:r>
      <w:r>
        <w:rPr>
          <w:rFonts w:hint="eastAsia" w:ascii="仿宋" w:hAnsi="仿宋" w:eastAsia="仿宋" w:cs="仿宋"/>
          <w:kern w:val="2"/>
          <w:sz w:val="32"/>
          <w:szCs w:val="32"/>
          <w:highlight w:val="none"/>
          <w:lang w:val="en-US" w:eastAsia="zh-CN"/>
        </w:rPr>
        <w:t>内蒙古自治区人民医院附属卫校 2023年度收入、支出决算总计 463.18万元。与年初预算相比，收、支总计各减少136.99万元，减少22.83%，变动原因：2023</w:t>
      </w:r>
      <w:bookmarkStart w:id="1" w:name="_GoBack"/>
      <w:bookmarkEnd w:id="1"/>
      <w:r>
        <w:rPr>
          <w:rFonts w:hint="eastAsia" w:ascii="仿宋" w:hAnsi="仿宋" w:eastAsia="仿宋" w:cs="仿宋"/>
          <w:kern w:val="2"/>
          <w:sz w:val="32"/>
          <w:szCs w:val="32"/>
          <w:highlight w:val="none"/>
          <w:lang w:val="en-US" w:eastAsia="zh-CN"/>
        </w:rPr>
        <w:t>年度退休人员增加，在职人员减少，无新增人员；与上年决算相比，收、支总计各减少25.18万元，减少5.16%。其中：</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 w:hAnsi="仿宋" w:eastAsia="仿宋" w:cs="仿宋"/>
          <w:kern w:val="0"/>
          <w:sz w:val="32"/>
          <w:szCs w:val="32"/>
        </w:rPr>
      </w:pPr>
      <w:r>
        <w:rPr>
          <w:rFonts w:hint="eastAsia" w:ascii="仿宋" w:hAnsi="仿宋" w:eastAsia="仿宋" w:cs="仿宋"/>
          <w:b/>
          <w:bCs/>
          <w:kern w:val="0"/>
          <w:sz w:val="32"/>
          <w:szCs w:val="32"/>
        </w:rPr>
        <w:t>   </w:t>
      </w:r>
      <w:r>
        <w:rPr>
          <w:rFonts w:hint="eastAsia" w:ascii="黑体" w:hAnsi="黑体" w:eastAsia="黑体" w:cs="黑体"/>
          <w:b/>
          <w:bCs/>
          <w:kern w:val="0"/>
          <w:sz w:val="32"/>
          <w:szCs w:val="32"/>
          <w:highlight w:val="none"/>
        </w:rPr>
        <w:t xml:space="preserve"> </w:t>
      </w:r>
      <w:r>
        <w:rPr>
          <w:rFonts w:hint="eastAsia" w:ascii="黑体" w:hAnsi="黑体" w:eastAsia="黑体" w:cs="黑体"/>
          <w:b w:val="0"/>
          <w:bCs w:val="0"/>
          <w:kern w:val="0"/>
          <w:sz w:val="32"/>
          <w:szCs w:val="32"/>
          <w:highlight w:val="none"/>
        </w:rPr>
        <w:t>（一）收入决算总计 463.18万元。包括：</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0"/>
          <w:sz w:val="32"/>
          <w:szCs w:val="32"/>
        </w:rPr>
        <w:t>   </w:t>
      </w:r>
      <w:r>
        <w:rPr>
          <w:rFonts w:hint="eastAsia" w:ascii="仿宋" w:hAnsi="仿宋" w:eastAsia="仿宋" w:cs="仿宋"/>
          <w:kern w:val="2"/>
          <w:sz w:val="32"/>
          <w:szCs w:val="32"/>
          <w:highlight w:val="none"/>
          <w:lang w:val="en-US" w:eastAsia="zh-CN"/>
        </w:rPr>
        <w:t xml:space="preserve"> 1.本年收入决算合计 422.60万元。与上年决算相比，减少65.76万元，减少13.46%，变动原因：2023年度退休人员增加，在职人员减少。</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2.使用非财政拨款结余和专用结余 0.00万元。与上年决算相比，增加 0.00万元，增长0%，变动原因：不存在此项内容。</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3.年初结转和结余 40.58万元。与上年决算相比，增加40.58万元，增长100%，变动原因：收到乌盟医专联合办学款。</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b/>
          <w:bCs/>
          <w:kern w:val="0"/>
          <w:sz w:val="32"/>
          <w:szCs w:val="32"/>
          <w:highlight w:val="none"/>
        </w:rPr>
        <w:t>   </w:t>
      </w: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（二）支出决算总计 463.18万元。包括：</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1.本年支出决算合计 456.57万元。与上年决算相比，增加 8.80万元，增长 1.96%，变动原因：</w:t>
      </w:r>
      <w:r>
        <w:rPr>
          <w:rFonts w:hint="eastAsia" w:ascii="仿宋" w:hAnsi="仿宋" w:eastAsia="仿宋" w:cs="仿宋"/>
          <w:kern w:val="2"/>
          <w:sz w:val="32"/>
          <w:szCs w:val="32"/>
          <w:highlight w:val="none"/>
          <w:lang w:val="en-US" w:eastAsia="zh-CN"/>
        </w:rPr>
        <w:t>2022年度因疫情，维修维护不能施工，2023年度陆续开始施工</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2.结余分配 0.00万元。结余分配事项：无。与上年决算相比，增加 0.00万元，增长</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%，变动原因：不存在此项内容。</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仿宋" w:hAnsi="仿宋" w:eastAsia="仿宋" w:cs="仿宋"/>
          <w:kern w:val="2"/>
          <w:sz w:val="32"/>
          <w:szCs w:val="32"/>
          <w:highlight w:val="none"/>
          <w:lang w:val="en-US" w:eastAsia="zh-CN"/>
        </w:rPr>
        <w:t xml:space="preserve"> </w:t>
      </w:r>
      <w:r>
        <w:rPr>
          <w:rFonts w:hint="eastAsia" w:ascii="仿宋" w:hAnsi="仿宋" w:eastAsia="仿宋" w:cs="仿宋"/>
          <w:kern w:val="2"/>
          <w:sz w:val="32"/>
          <w:szCs w:val="32"/>
          <w:highlight w:val="none"/>
          <w:lang w:eastAsia="zh-CN"/>
        </w:rPr>
        <w:t>3.年末结转和结余 6.61万元。结转和结余事项：乌盟医专联合教学款。与上年决算相比，减少33.97万元，减少83.72%，变动原因：</w:t>
      </w:r>
      <w:r>
        <w:rPr>
          <w:rFonts w:hint="eastAsia" w:ascii="仿宋" w:hAnsi="仿宋" w:eastAsia="仿宋" w:cs="仿宋"/>
          <w:kern w:val="2"/>
          <w:sz w:val="32"/>
          <w:szCs w:val="32"/>
          <w:highlight w:val="none"/>
          <w:lang w:val="en-US" w:eastAsia="zh-CN"/>
        </w:rPr>
        <w:t>2023年度用该项资金发放人员经费</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二、收入决算情况说明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eastAsia="zh-CN"/>
        </w:rPr>
        <w:t>   </w:t>
      </w:r>
      <w:r>
        <w:rPr>
          <w:rFonts w:hint="eastAsia" w:ascii="仿宋" w:hAnsi="仿宋" w:eastAsia="仿宋" w:cs="仿宋"/>
          <w:kern w:val="2"/>
          <w:sz w:val="32"/>
          <w:szCs w:val="32"/>
          <w:highlight w:val="none"/>
          <w:lang w:val="en-US" w:eastAsia="zh-CN"/>
        </w:rPr>
        <w:t xml:space="preserve"> 内蒙古自治区人民医院附属卫校 2023年度本年收入决算合计 422.60万元，其中：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本年一般公共预算财政拨款收入 422.46万元，占 99.97%；</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本年政府性基金预算财政拨款收入 0.00万元，占 0.00%；</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本年国有资本经营预算财政拨款收入 0.00万元，占 0.00%；</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本年上级补助收入 0.00万元，占 0.00%；</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本年事业收入 0.00万元，占 0.00%；</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本年经营收入 0.00万元，占 0.00%；</w:t>
      </w:r>
    </w:p>
    <w:p>
      <w:pPr>
        <w:keepNext w:val="0"/>
        <w:keepLines w:val="0"/>
        <w:pageBreakBefore w:val="0"/>
        <w:widowControl/>
        <w:kinsoku/>
        <w:wordWrap/>
        <w:overflowPunct/>
        <w:topLinePunct w:val="0"/>
        <w:autoSpaceDE/>
        <w:autoSpaceDN/>
        <w:bidi w:val="0"/>
        <w:adjustRightInd/>
        <w:snapToGrid/>
        <w:spacing w:before="240" w:after="240" w:line="560" w:lineRule="exact"/>
        <w:ind w:firstLine="497"/>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本年附属单位上缴收入 0.00万元，占 0.00%；</w:t>
      </w:r>
    </w:p>
    <w:p>
      <w:pPr>
        <w:keepNext w:val="0"/>
        <w:keepLines w:val="0"/>
        <w:pageBreakBefore w:val="0"/>
        <w:widowControl/>
        <w:kinsoku/>
        <w:wordWrap/>
        <w:overflowPunct/>
        <w:topLinePunct w:val="0"/>
        <w:autoSpaceDE/>
        <w:autoSpaceDN/>
        <w:bidi w:val="0"/>
        <w:adjustRightInd/>
        <w:snapToGrid/>
        <w:spacing w:before="240" w:after="240" w:line="560" w:lineRule="exact"/>
        <w:ind w:firstLine="497"/>
        <w:textAlignment w:val="auto"/>
        <w:rPr>
          <w:rFonts w:hint="eastAsia"/>
          <w:lang w:eastAsia="zh-CN"/>
        </w:rPr>
      </w:pPr>
      <w:r>
        <w:rPr>
          <w:rFonts w:hint="eastAsia" w:ascii="仿宋" w:hAnsi="仿宋" w:eastAsia="仿宋" w:cs="仿宋"/>
          <w:kern w:val="2"/>
          <w:sz w:val="32"/>
          <w:szCs w:val="32"/>
          <w:highlight w:val="none"/>
          <w:lang w:val="en-US" w:eastAsia="zh-CN"/>
        </w:rPr>
        <w:t>本年其他收入 0.14万元，占 0.03%。</w:t>
      </w:r>
    </w:p>
    <w:p>
      <w:pPr>
        <w:pStyle w:val="2"/>
        <w:jc w:val="center"/>
        <w:rPr>
          <w:rFonts w:hint="eastAsia"/>
          <w:lang w:eastAsia="zh-CN"/>
        </w:rPr>
      </w:pPr>
      <w:r>
        <w:drawing>
          <wp:inline distT="0" distB="0" distL="114300" distR="114300">
            <wp:extent cx="2628900" cy="2381250"/>
            <wp:effectExtent l="4445" t="4445" r="18415" b="698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keepNext w:val="0"/>
        <w:keepLines w:val="0"/>
        <w:pageBreakBefore w:val="0"/>
        <w:widowControl/>
        <w:kinsoku/>
        <w:wordWrap/>
        <w:overflowPunct/>
        <w:topLinePunct w:val="0"/>
        <w:autoSpaceDE/>
        <w:autoSpaceDN/>
        <w:bidi w:val="0"/>
        <w:adjustRightInd/>
        <w:snapToGrid/>
        <w:spacing w:before="240" w:after="240" w:line="560" w:lineRule="exact"/>
        <w:jc w:val="center"/>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图1.收入决算图</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三、支出决算情况说明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eastAsia="zh-CN"/>
        </w:rPr>
        <w:t>   </w:t>
      </w:r>
      <w:r>
        <w:rPr>
          <w:rFonts w:hint="eastAsia" w:ascii="仿宋" w:hAnsi="仿宋" w:eastAsia="仿宋" w:cs="仿宋"/>
          <w:kern w:val="2"/>
          <w:sz w:val="32"/>
          <w:szCs w:val="32"/>
          <w:highlight w:val="none"/>
          <w:lang w:val="en-US" w:eastAsia="zh-CN"/>
        </w:rPr>
        <w:t xml:space="preserve"> 内蒙古自治区人民医院附属卫校 2023年度本年支出决算合计 456.57万元，其中：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本年基本支出 303.06万元，占 66.38%；</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本年项目支出 153.51万元，占 33.62%；</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本年上缴上级支出 0.00万元，占 0.00%；</w:t>
      </w:r>
    </w:p>
    <w:p>
      <w:pPr>
        <w:keepNext w:val="0"/>
        <w:keepLines w:val="0"/>
        <w:pageBreakBefore w:val="0"/>
        <w:widowControl/>
        <w:kinsoku/>
        <w:wordWrap/>
        <w:overflowPunct/>
        <w:topLinePunct w:val="0"/>
        <w:autoSpaceDE/>
        <w:autoSpaceDN/>
        <w:bidi w:val="0"/>
        <w:adjustRightInd/>
        <w:snapToGrid/>
        <w:spacing w:before="240" w:after="240" w:line="560" w:lineRule="exact"/>
        <w:ind w:firstLine="497"/>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本年经营支出 0.00万元，占 0.00%；</w:t>
      </w:r>
    </w:p>
    <w:p>
      <w:pPr>
        <w:keepNext w:val="0"/>
        <w:keepLines w:val="0"/>
        <w:pageBreakBefore w:val="0"/>
        <w:widowControl/>
        <w:kinsoku/>
        <w:wordWrap/>
        <w:overflowPunct/>
        <w:topLinePunct w:val="0"/>
        <w:autoSpaceDE/>
        <w:autoSpaceDN/>
        <w:bidi w:val="0"/>
        <w:adjustRightInd/>
        <w:snapToGrid/>
        <w:spacing w:before="240" w:after="240" w:line="560" w:lineRule="exact"/>
        <w:ind w:firstLine="497"/>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本年对附属单位补助支出 0.00万元，占 0.00%。</w:t>
      </w:r>
    </w:p>
    <w:p>
      <w:pPr>
        <w:pStyle w:val="2"/>
        <w:jc w:val="center"/>
        <w:rPr>
          <w:rFonts w:hint="eastAsia"/>
          <w:lang w:eastAsia="zh-CN"/>
        </w:rPr>
      </w:pPr>
      <w:r>
        <w:drawing>
          <wp:inline distT="0" distB="0" distL="114300" distR="114300">
            <wp:extent cx="3295650" cy="2552700"/>
            <wp:effectExtent l="4445" t="4445" r="6985" b="1841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keepNext w:val="0"/>
        <w:keepLines w:val="0"/>
        <w:pageBreakBefore w:val="0"/>
        <w:widowControl/>
        <w:kinsoku/>
        <w:wordWrap/>
        <w:overflowPunct/>
        <w:topLinePunct w:val="0"/>
        <w:autoSpaceDE/>
        <w:autoSpaceDN/>
        <w:bidi w:val="0"/>
        <w:adjustRightInd/>
        <w:snapToGrid/>
        <w:spacing w:before="240" w:after="240" w:line="560" w:lineRule="exact"/>
        <w:jc w:val="center"/>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图2.支出决算图</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w:t>
      </w:r>
      <w:r>
        <w:rPr>
          <w:rFonts w:hint="eastAsia" w:ascii="黑体" w:hAnsi="黑体" w:eastAsia="黑体" w:cs="黑体"/>
          <w:b w:val="0"/>
          <w:bCs w:val="0"/>
          <w:kern w:val="0"/>
          <w:sz w:val="32"/>
          <w:szCs w:val="32"/>
          <w:highlight w:val="none"/>
          <w:lang w:eastAsia="zh-CN"/>
        </w:rPr>
        <w:t xml:space="preserve"> 四、财政拨款收入支出决算总体情况说明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eastAsia="zh-CN"/>
        </w:rPr>
        <w:t>   </w:t>
      </w:r>
      <w:r>
        <w:rPr>
          <w:rFonts w:hint="eastAsia" w:ascii="仿宋" w:hAnsi="仿宋" w:eastAsia="仿宋" w:cs="仿宋"/>
          <w:kern w:val="2"/>
          <w:sz w:val="32"/>
          <w:szCs w:val="32"/>
          <w:highlight w:val="none"/>
          <w:lang w:val="en-US" w:eastAsia="zh-CN"/>
        </w:rPr>
        <w:t xml:space="preserve"> 内蒙古自治区人民医院附属卫校 2023年度财政拨款收入、支出决算总计 422.46万元，与年初预算相比，收、支总计各减少177.71万元，减少29.61%，变动原因：2023年度退休人员增加，在职人员减少；与上年决算相比，收、支总计各减少23.35万元，减少5.24%，变动原因：2023年度人员减少，人员经费减少。</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eastAsia="zh-CN"/>
        </w:rPr>
        <w:t xml:space="preserve">    </w:t>
      </w:r>
      <w:r>
        <w:rPr>
          <w:rFonts w:hint="eastAsia" w:ascii="仿宋" w:hAnsi="仿宋" w:eastAsia="仿宋" w:cs="仿宋"/>
          <w:kern w:val="2"/>
          <w:sz w:val="32"/>
          <w:szCs w:val="32"/>
          <w:highlight w:val="none"/>
          <w:lang w:val="en-US" w:eastAsia="zh-CN"/>
        </w:rPr>
        <w:t>内蒙古自治区人民医院附属卫校 2023年度一般公共预算财政拨款支出决算 422.46万元。与年初预算 600.17万元相比，完成年初预算的 70.39%。其中：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（一）社会保障和就业支出（类）</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eastAsia="zh-CN"/>
        </w:rPr>
        <w:t>    社会保障和就业支出类决算数为 94.13万元，与年初预算相比减少13.73万元。其中：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仿宋" w:hAnsi="仿宋" w:eastAsia="仿宋" w:cs="仿宋"/>
          <w:kern w:val="2"/>
          <w:sz w:val="32"/>
          <w:szCs w:val="32"/>
          <w:highlight w:val="none"/>
          <w:lang w:val="en-US" w:eastAsia="zh-CN"/>
        </w:rPr>
        <w:t xml:space="preserve"> 1</w:t>
      </w:r>
      <w:r>
        <w:rPr>
          <w:rFonts w:hint="eastAsia" w:ascii="仿宋" w:hAnsi="仿宋" w:eastAsia="仿宋" w:cs="仿宋"/>
          <w:kern w:val="2"/>
          <w:sz w:val="32"/>
          <w:szCs w:val="32"/>
          <w:highlight w:val="none"/>
          <w:lang w:eastAsia="zh-CN"/>
        </w:rPr>
        <w:t>．行政事业单位养老支出（款）事业单位离退休（项）。年初预算</w:t>
      </w:r>
      <w:r>
        <w:rPr>
          <w:rFonts w:hint="eastAsia" w:ascii="仿宋" w:hAnsi="仿宋" w:eastAsia="仿宋" w:cs="仿宋"/>
          <w:kern w:val="2"/>
          <w:sz w:val="32"/>
          <w:szCs w:val="32"/>
          <w:highlight w:val="none"/>
          <w:lang w:val="en-US" w:eastAsia="zh-CN"/>
        </w:rPr>
        <w:t>65.24</w:t>
      </w:r>
      <w:r>
        <w:rPr>
          <w:rFonts w:hint="eastAsia" w:ascii="仿宋" w:hAnsi="仿宋" w:eastAsia="仿宋" w:cs="仿宋"/>
          <w:kern w:val="2"/>
          <w:sz w:val="32"/>
          <w:szCs w:val="32"/>
          <w:highlight w:val="none"/>
          <w:lang w:eastAsia="zh-CN"/>
        </w:rPr>
        <w:t>万元，支出决算</w:t>
      </w:r>
      <w:r>
        <w:rPr>
          <w:rFonts w:hint="eastAsia" w:ascii="仿宋" w:hAnsi="仿宋" w:eastAsia="仿宋" w:cs="仿宋"/>
          <w:kern w:val="2"/>
          <w:sz w:val="32"/>
          <w:szCs w:val="32"/>
          <w:highlight w:val="none"/>
          <w:lang w:val="en-US" w:eastAsia="zh-CN"/>
        </w:rPr>
        <w:t>58.06</w:t>
      </w:r>
      <w:r>
        <w:rPr>
          <w:rFonts w:hint="eastAsia" w:ascii="仿宋" w:hAnsi="仿宋" w:eastAsia="仿宋" w:cs="仿宋"/>
          <w:kern w:val="2"/>
          <w:sz w:val="32"/>
          <w:szCs w:val="32"/>
          <w:highlight w:val="none"/>
          <w:lang w:eastAsia="zh-CN"/>
        </w:rPr>
        <w:t>万元，完成年初预算的</w:t>
      </w:r>
      <w:r>
        <w:rPr>
          <w:rFonts w:hint="eastAsia" w:ascii="仿宋" w:hAnsi="仿宋" w:eastAsia="仿宋" w:cs="仿宋"/>
          <w:kern w:val="2"/>
          <w:sz w:val="32"/>
          <w:szCs w:val="32"/>
          <w:highlight w:val="none"/>
          <w:lang w:val="en-US" w:eastAsia="zh-CN"/>
        </w:rPr>
        <w:t>89</w:t>
      </w:r>
      <w:r>
        <w:rPr>
          <w:rFonts w:hint="eastAsia" w:ascii="仿宋" w:hAnsi="仿宋" w:eastAsia="仿宋" w:cs="仿宋"/>
          <w:kern w:val="2"/>
          <w:sz w:val="32"/>
          <w:szCs w:val="32"/>
          <w:highlight w:val="none"/>
          <w:lang w:eastAsia="zh-CN"/>
        </w:rPr>
        <w:t>%。决算数与年初预算数的差异原因：</w:t>
      </w:r>
      <w:r>
        <w:rPr>
          <w:rFonts w:hint="eastAsia" w:ascii="仿宋" w:hAnsi="仿宋" w:eastAsia="仿宋" w:cs="仿宋"/>
          <w:kern w:val="2"/>
          <w:sz w:val="32"/>
          <w:szCs w:val="32"/>
          <w:highlight w:val="none"/>
          <w:lang w:val="en-US" w:eastAsia="zh-CN"/>
        </w:rPr>
        <w:t>2023年度有一位职工去世</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仿宋" w:hAnsi="仿宋" w:eastAsia="仿宋" w:cs="仿宋"/>
          <w:kern w:val="2"/>
          <w:sz w:val="32"/>
          <w:szCs w:val="32"/>
          <w:highlight w:val="none"/>
          <w:lang w:val="en-US" w:eastAsia="zh-CN"/>
        </w:rPr>
        <w:t xml:space="preserve"> 2</w:t>
      </w:r>
      <w:r>
        <w:rPr>
          <w:rFonts w:hint="eastAsia" w:ascii="仿宋" w:hAnsi="仿宋" w:eastAsia="仿宋" w:cs="仿宋"/>
          <w:kern w:val="2"/>
          <w:sz w:val="32"/>
          <w:szCs w:val="32"/>
          <w:highlight w:val="none"/>
          <w:lang w:eastAsia="zh-CN"/>
        </w:rPr>
        <w:t>．行政事业单位养老支出（款）机关事业单位基本养老保险缴费支出（项）。年初预算</w:t>
      </w:r>
      <w:r>
        <w:rPr>
          <w:rFonts w:hint="eastAsia" w:ascii="仿宋" w:hAnsi="仿宋" w:eastAsia="仿宋" w:cs="仿宋"/>
          <w:kern w:val="2"/>
          <w:sz w:val="32"/>
          <w:szCs w:val="32"/>
          <w:highlight w:val="none"/>
          <w:lang w:val="en-US" w:eastAsia="zh-CN"/>
        </w:rPr>
        <w:t>28.41</w:t>
      </w:r>
      <w:r>
        <w:rPr>
          <w:rFonts w:hint="eastAsia" w:ascii="仿宋" w:hAnsi="仿宋" w:eastAsia="仿宋" w:cs="仿宋"/>
          <w:kern w:val="2"/>
          <w:sz w:val="32"/>
          <w:szCs w:val="32"/>
          <w:highlight w:val="none"/>
          <w:lang w:eastAsia="zh-CN"/>
        </w:rPr>
        <w:t>万元，支出决算</w:t>
      </w:r>
      <w:r>
        <w:rPr>
          <w:rFonts w:hint="eastAsia" w:ascii="仿宋" w:hAnsi="仿宋" w:eastAsia="仿宋" w:cs="仿宋"/>
          <w:kern w:val="2"/>
          <w:sz w:val="32"/>
          <w:szCs w:val="32"/>
          <w:highlight w:val="none"/>
          <w:lang w:val="en-US" w:eastAsia="zh-CN"/>
        </w:rPr>
        <w:t>19.05</w:t>
      </w:r>
      <w:r>
        <w:rPr>
          <w:rFonts w:hint="eastAsia" w:ascii="仿宋" w:hAnsi="仿宋" w:eastAsia="仿宋" w:cs="仿宋"/>
          <w:kern w:val="2"/>
          <w:sz w:val="32"/>
          <w:szCs w:val="32"/>
          <w:highlight w:val="none"/>
          <w:lang w:eastAsia="zh-CN"/>
        </w:rPr>
        <w:t>万元，完成年初预算的</w:t>
      </w:r>
      <w:r>
        <w:rPr>
          <w:rFonts w:hint="eastAsia" w:ascii="仿宋" w:hAnsi="仿宋" w:eastAsia="仿宋" w:cs="仿宋"/>
          <w:kern w:val="2"/>
          <w:sz w:val="32"/>
          <w:szCs w:val="32"/>
          <w:highlight w:val="none"/>
          <w:lang w:val="en-US" w:eastAsia="zh-CN"/>
        </w:rPr>
        <w:t>67.05</w:t>
      </w:r>
      <w:r>
        <w:rPr>
          <w:rFonts w:hint="eastAsia" w:ascii="仿宋" w:hAnsi="仿宋" w:eastAsia="仿宋" w:cs="仿宋"/>
          <w:kern w:val="2"/>
          <w:sz w:val="32"/>
          <w:szCs w:val="32"/>
          <w:highlight w:val="none"/>
          <w:lang w:eastAsia="zh-CN"/>
        </w:rPr>
        <w:t>%。决算数与年初预算数的差异原因：</w:t>
      </w:r>
      <w:r>
        <w:rPr>
          <w:rFonts w:hint="eastAsia" w:ascii="仿宋" w:hAnsi="仿宋" w:eastAsia="仿宋" w:cs="仿宋"/>
          <w:kern w:val="2"/>
          <w:sz w:val="32"/>
          <w:szCs w:val="32"/>
          <w:highlight w:val="none"/>
          <w:lang w:val="en-US" w:eastAsia="zh-CN"/>
        </w:rPr>
        <w:t>2023年度在职职工减少，退休人员增加，无新增人员</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val="en-US" w:eastAsia="zh-CN"/>
        </w:rPr>
        <w:t>3</w:t>
      </w:r>
      <w:r>
        <w:rPr>
          <w:rFonts w:hint="eastAsia" w:ascii="仿宋" w:hAnsi="仿宋" w:eastAsia="仿宋" w:cs="仿宋"/>
          <w:kern w:val="2"/>
          <w:sz w:val="32"/>
          <w:szCs w:val="32"/>
          <w:highlight w:val="none"/>
          <w:lang w:eastAsia="zh-CN"/>
        </w:rPr>
        <w:t>．行政事业单位养老支出（款）机关事业单位职业年金缴费支出（项）。年初预算</w:t>
      </w:r>
      <w:r>
        <w:rPr>
          <w:rFonts w:hint="eastAsia" w:ascii="仿宋" w:hAnsi="仿宋" w:eastAsia="仿宋" w:cs="仿宋"/>
          <w:kern w:val="2"/>
          <w:sz w:val="32"/>
          <w:szCs w:val="32"/>
          <w:highlight w:val="none"/>
          <w:lang w:val="en-US" w:eastAsia="zh-CN"/>
        </w:rPr>
        <w:t>14.21</w:t>
      </w:r>
      <w:r>
        <w:rPr>
          <w:rFonts w:hint="eastAsia" w:ascii="仿宋" w:hAnsi="仿宋" w:eastAsia="仿宋" w:cs="仿宋"/>
          <w:kern w:val="2"/>
          <w:sz w:val="32"/>
          <w:szCs w:val="32"/>
          <w:highlight w:val="none"/>
          <w:lang w:eastAsia="zh-CN"/>
        </w:rPr>
        <w:t>万元，支出决算</w:t>
      </w:r>
      <w:r>
        <w:rPr>
          <w:rFonts w:hint="eastAsia" w:ascii="仿宋" w:hAnsi="仿宋" w:eastAsia="仿宋" w:cs="仿宋"/>
          <w:kern w:val="2"/>
          <w:sz w:val="32"/>
          <w:szCs w:val="32"/>
          <w:highlight w:val="none"/>
          <w:lang w:val="en-US" w:eastAsia="zh-CN"/>
        </w:rPr>
        <w:t>9.53</w:t>
      </w:r>
      <w:r>
        <w:rPr>
          <w:rFonts w:hint="eastAsia" w:ascii="仿宋" w:hAnsi="仿宋" w:eastAsia="仿宋" w:cs="仿宋"/>
          <w:kern w:val="2"/>
          <w:sz w:val="32"/>
          <w:szCs w:val="32"/>
          <w:highlight w:val="none"/>
          <w:lang w:eastAsia="zh-CN"/>
        </w:rPr>
        <w:t>万元，完成年初预算的</w:t>
      </w:r>
      <w:r>
        <w:rPr>
          <w:rFonts w:hint="eastAsia" w:ascii="仿宋" w:hAnsi="仿宋" w:eastAsia="仿宋" w:cs="仿宋"/>
          <w:kern w:val="2"/>
          <w:sz w:val="32"/>
          <w:szCs w:val="32"/>
          <w:highlight w:val="none"/>
          <w:lang w:val="en-US" w:eastAsia="zh-CN"/>
        </w:rPr>
        <w:t>67.09</w:t>
      </w:r>
      <w:r>
        <w:rPr>
          <w:rFonts w:hint="eastAsia" w:ascii="仿宋" w:hAnsi="仿宋" w:eastAsia="仿宋" w:cs="仿宋"/>
          <w:kern w:val="2"/>
          <w:sz w:val="32"/>
          <w:szCs w:val="32"/>
          <w:highlight w:val="none"/>
          <w:lang w:eastAsia="zh-CN"/>
        </w:rPr>
        <w:t>%。决算数与年初预算数的差异原因：</w:t>
      </w:r>
      <w:r>
        <w:rPr>
          <w:rFonts w:hint="eastAsia" w:ascii="仿宋" w:hAnsi="仿宋" w:eastAsia="仿宋" w:cs="仿宋"/>
          <w:kern w:val="2"/>
          <w:sz w:val="32"/>
          <w:szCs w:val="32"/>
          <w:highlight w:val="none"/>
          <w:lang w:val="en-US" w:eastAsia="zh-CN"/>
        </w:rPr>
        <w:t>2023年度在职职工减少，退休人员增加，无新增人员</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4.抚恤（款）死亡抚恤（项）。</w:t>
      </w:r>
      <w:r>
        <w:rPr>
          <w:rFonts w:hint="eastAsia" w:ascii="仿宋" w:hAnsi="仿宋" w:eastAsia="仿宋" w:cs="仿宋"/>
          <w:kern w:val="2"/>
          <w:sz w:val="32"/>
          <w:szCs w:val="32"/>
          <w:highlight w:val="none"/>
          <w:lang w:eastAsia="zh-CN"/>
        </w:rPr>
        <w:t>年初预算</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万元，支出决算</w:t>
      </w:r>
      <w:r>
        <w:rPr>
          <w:rFonts w:hint="eastAsia" w:ascii="仿宋" w:hAnsi="仿宋" w:eastAsia="仿宋" w:cs="仿宋"/>
          <w:kern w:val="2"/>
          <w:sz w:val="32"/>
          <w:szCs w:val="32"/>
          <w:highlight w:val="none"/>
          <w:lang w:val="en-US" w:eastAsia="zh-CN"/>
        </w:rPr>
        <w:t>7.49</w:t>
      </w:r>
      <w:r>
        <w:rPr>
          <w:rFonts w:hint="eastAsia" w:ascii="仿宋" w:hAnsi="仿宋" w:eastAsia="仿宋" w:cs="仿宋"/>
          <w:kern w:val="2"/>
          <w:sz w:val="32"/>
          <w:szCs w:val="32"/>
          <w:highlight w:val="none"/>
          <w:lang w:eastAsia="zh-CN"/>
        </w:rPr>
        <w:t>万元，完成年初预算的</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%。决算数与年初预算数的差异原因：</w:t>
      </w:r>
      <w:r>
        <w:rPr>
          <w:rFonts w:hint="eastAsia" w:ascii="仿宋" w:hAnsi="仿宋" w:eastAsia="仿宋" w:cs="仿宋"/>
          <w:kern w:val="2"/>
          <w:sz w:val="32"/>
          <w:szCs w:val="32"/>
          <w:highlight w:val="none"/>
          <w:lang w:val="en-US" w:eastAsia="zh-CN"/>
        </w:rPr>
        <w:t>2023年度有一位职工去世，年中追加抚恤金。</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（二）卫生健康支出（类）</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仿宋" w:hAnsi="仿宋" w:eastAsia="仿宋" w:cs="仿宋"/>
          <w:kern w:val="2"/>
          <w:sz w:val="32"/>
          <w:szCs w:val="32"/>
          <w:highlight w:val="none"/>
          <w:lang w:val="en-US" w:eastAsia="zh-CN"/>
        </w:rPr>
        <w:t xml:space="preserve"> 1.</w:t>
      </w:r>
      <w:r>
        <w:rPr>
          <w:rFonts w:hint="eastAsia" w:ascii="仿宋" w:hAnsi="仿宋" w:eastAsia="仿宋" w:cs="仿宋"/>
          <w:kern w:val="2"/>
          <w:sz w:val="32"/>
          <w:szCs w:val="32"/>
          <w:highlight w:val="none"/>
          <w:lang w:eastAsia="zh-CN"/>
        </w:rPr>
        <w:t>卫生健康支出类决算数为 10.82万元，与年初预算相比减少 20.53万元。其中：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w:t>
      </w:r>
      <w:r>
        <w:rPr>
          <w:rFonts w:hint="eastAsia" w:ascii="仿宋" w:hAnsi="仿宋" w:eastAsia="仿宋" w:cs="仿宋"/>
          <w:kern w:val="2"/>
          <w:sz w:val="32"/>
          <w:szCs w:val="32"/>
          <w:highlight w:val="none"/>
          <w:lang w:val="en-US" w:eastAsia="zh-CN"/>
        </w:rPr>
        <w:t xml:space="preserve"> </w:t>
      </w:r>
      <w:r>
        <w:rPr>
          <w:rFonts w:hint="eastAsia" w:ascii="仿宋" w:hAnsi="仿宋" w:eastAsia="仿宋" w:cs="仿宋"/>
          <w:kern w:val="2"/>
          <w:sz w:val="32"/>
          <w:szCs w:val="32"/>
          <w:highlight w:val="none"/>
          <w:lang w:eastAsia="zh-CN"/>
        </w:rPr>
        <w:t xml:space="preserve"> 2．行政事业单位医疗（款）事业单位医疗（项）。年初预算</w:t>
      </w:r>
      <w:r>
        <w:rPr>
          <w:rFonts w:hint="eastAsia" w:ascii="仿宋" w:hAnsi="仿宋" w:eastAsia="仿宋" w:cs="仿宋"/>
          <w:kern w:val="2"/>
          <w:sz w:val="32"/>
          <w:szCs w:val="32"/>
          <w:highlight w:val="none"/>
          <w:lang w:val="en-US" w:eastAsia="zh-CN"/>
        </w:rPr>
        <w:t>12.12</w:t>
      </w:r>
      <w:r>
        <w:rPr>
          <w:rFonts w:hint="eastAsia" w:ascii="仿宋" w:hAnsi="仿宋" w:eastAsia="仿宋" w:cs="仿宋"/>
          <w:kern w:val="2"/>
          <w:sz w:val="32"/>
          <w:szCs w:val="32"/>
          <w:highlight w:val="none"/>
          <w:lang w:eastAsia="zh-CN"/>
        </w:rPr>
        <w:t>万元，支出决算</w:t>
      </w:r>
      <w:r>
        <w:rPr>
          <w:rFonts w:hint="eastAsia" w:ascii="仿宋" w:hAnsi="仿宋" w:eastAsia="仿宋" w:cs="仿宋"/>
          <w:kern w:val="2"/>
          <w:sz w:val="32"/>
          <w:szCs w:val="32"/>
          <w:highlight w:val="none"/>
          <w:lang w:val="en-US" w:eastAsia="zh-CN"/>
        </w:rPr>
        <w:t>10.82</w:t>
      </w:r>
      <w:r>
        <w:rPr>
          <w:rFonts w:hint="eastAsia" w:ascii="仿宋" w:hAnsi="仿宋" w:eastAsia="仿宋" w:cs="仿宋"/>
          <w:kern w:val="2"/>
          <w:sz w:val="32"/>
          <w:szCs w:val="32"/>
          <w:highlight w:val="none"/>
          <w:lang w:eastAsia="zh-CN"/>
        </w:rPr>
        <w:t>万元，完成年初预算的</w:t>
      </w:r>
      <w:r>
        <w:rPr>
          <w:rFonts w:hint="eastAsia" w:ascii="仿宋" w:hAnsi="仿宋" w:eastAsia="仿宋" w:cs="仿宋"/>
          <w:kern w:val="2"/>
          <w:sz w:val="32"/>
          <w:szCs w:val="32"/>
          <w:highlight w:val="none"/>
          <w:lang w:val="en-US" w:eastAsia="zh-CN"/>
        </w:rPr>
        <w:t>89.25</w:t>
      </w:r>
      <w:r>
        <w:rPr>
          <w:rFonts w:hint="eastAsia" w:ascii="仿宋" w:hAnsi="仿宋" w:eastAsia="仿宋" w:cs="仿宋"/>
          <w:kern w:val="2"/>
          <w:sz w:val="32"/>
          <w:szCs w:val="32"/>
          <w:highlight w:val="none"/>
          <w:lang w:eastAsia="zh-CN"/>
        </w:rPr>
        <w:t>%。决算数与年初预算数的差异原因：</w:t>
      </w:r>
      <w:r>
        <w:rPr>
          <w:rFonts w:hint="eastAsia" w:ascii="仿宋" w:hAnsi="仿宋" w:eastAsia="仿宋" w:cs="仿宋"/>
          <w:kern w:val="2"/>
          <w:sz w:val="32"/>
          <w:szCs w:val="32"/>
          <w:highlight w:val="none"/>
          <w:lang w:val="en-US" w:eastAsia="zh-CN"/>
        </w:rPr>
        <w:t>2023年度在职职工减少，退休人员增加，无新增人员</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仿宋" w:hAnsi="仿宋" w:eastAsia="仿宋" w:cs="仿宋"/>
          <w:kern w:val="2"/>
          <w:sz w:val="32"/>
          <w:szCs w:val="32"/>
          <w:highlight w:val="none"/>
          <w:lang w:val="en-US" w:eastAsia="zh-CN"/>
        </w:rPr>
        <w:t xml:space="preserve"> </w:t>
      </w:r>
      <w:r>
        <w:rPr>
          <w:rFonts w:hint="eastAsia" w:ascii="仿宋" w:hAnsi="仿宋" w:eastAsia="仿宋" w:cs="仿宋"/>
          <w:kern w:val="2"/>
          <w:sz w:val="32"/>
          <w:szCs w:val="32"/>
          <w:highlight w:val="none"/>
          <w:lang w:eastAsia="zh-CN"/>
        </w:rPr>
        <w:t>3．行政事业单位医疗（款）公务员医疗补助（项）。年初预算</w:t>
      </w:r>
      <w:r>
        <w:rPr>
          <w:rFonts w:hint="eastAsia" w:ascii="仿宋" w:hAnsi="仿宋" w:eastAsia="仿宋" w:cs="仿宋"/>
          <w:kern w:val="2"/>
          <w:sz w:val="32"/>
          <w:szCs w:val="32"/>
          <w:highlight w:val="none"/>
          <w:lang w:val="en-US" w:eastAsia="zh-CN"/>
        </w:rPr>
        <w:t>19.23</w:t>
      </w:r>
      <w:r>
        <w:rPr>
          <w:rFonts w:hint="eastAsia" w:ascii="仿宋" w:hAnsi="仿宋" w:eastAsia="仿宋" w:cs="仿宋"/>
          <w:kern w:val="2"/>
          <w:sz w:val="32"/>
          <w:szCs w:val="32"/>
          <w:highlight w:val="none"/>
          <w:lang w:eastAsia="zh-CN"/>
        </w:rPr>
        <w:t>万元，支出决算</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万元，完成年初预算的</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%。决算数与年初预算数的差异原因：无此项内容，经费已收回。</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（三）住房保障支出（类）</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住房保障支出类决算数为 14.77万元，与年初预算相比减少13.25万元。其中：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1．住房改革支出（款）住房公积金（项）。年初预算</w:t>
      </w:r>
      <w:r>
        <w:rPr>
          <w:rFonts w:hint="eastAsia" w:ascii="仿宋" w:hAnsi="仿宋" w:eastAsia="仿宋" w:cs="仿宋"/>
          <w:kern w:val="2"/>
          <w:sz w:val="32"/>
          <w:szCs w:val="32"/>
          <w:highlight w:val="none"/>
          <w:lang w:val="en-US" w:eastAsia="zh-CN"/>
        </w:rPr>
        <w:t>28.02</w:t>
      </w:r>
      <w:r>
        <w:rPr>
          <w:rFonts w:hint="eastAsia" w:ascii="仿宋" w:hAnsi="仿宋" w:eastAsia="仿宋" w:cs="仿宋"/>
          <w:kern w:val="2"/>
          <w:sz w:val="32"/>
          <w:szCs w:val="32"/>
          <w:highlight w:val="none"/>
          <w:lang w:eastAsia="zh-CN"/>
        </w:rPr>
        <w:t>万元，支出决算</w:t>
      </w:r>
      <w:r>
        <w:rPr>
          <w:rFonts w:hint="eastAsia" w:ascii="仿宋" w:hAnsi="仿宋" w:eastAsia="仿宋" w:cs="仿宋"/>
          <w:kern w:val="2"/>
          <w:sz w:val="32"/>
          <w:szCs w:val="32"/>
          <w:highlight w:val="none"/>
          <w:lang w:val="en-US" w:eastAsia="zh-CN"/>
        </w:rPr>
        <w:t>14.77</w:t>
      </w:r>
      <w:r>
        <w:rPr>
          <w:rFonts w:hint="eastAsia" w:ascii="仿宋" w:hAnsi="仿宋" w:eastAsia="仿宋" w:cs="仿宋"/>
          <w:kern w:val="2"/>
          <w:sz w:val="32"/>
          <w:szCs w:val="32"/>
          <w:highlight w:val="none"/>
          <w:lang w:eastAsia="zh-CN"/>
        </w:rPr>
        <w:t>万元，完成年初预算的</w:t>
      </w:r>
      <w:r>
        <w:rPr>
          <w:rFonts w:hint="eastAsia" w:ascii="仿宋" w:hAnsi="仿宋" w:eastAsia="仿宋" w:cs="仿宋"/>
          <w:kern w:val="2"/>
          <w:sz w:val="32"/>
          <w:szCs w:val="32"/>
          <w:highlight w:val="none"/>
          <w:lang w:val="en-US" w:eastAsia="zh-CN"/>
        </w:rPr>
        <w:t>52.71</w:t>
      </w:r>
      <w:r>
        <w:rPr>
          <w:rFonts w:hint="eastAsia" w:ascii="仿宋" w:hAnsi="仿宋" w:eastAsia="仿宋" w:cs="仿宋"/>
          <w:kern w:val="2"/>
          <w:sz w:val="32"/>
          <w:szCs w:val="32"/>
          <w:highlight w:val="none"/>
          <w:lang w:eastAsia="zh-CN"/>
        </w:rPr>
        <w:t>%。决算数与年初预算数的差异原因：</w:t>
      </w:r>
      <w:r>
        <w:rPr>
          <w:rFonts w:hint="eastAsia" w:ascii="仿宋" w:hAnsi="仿宋" w:eastAsia="仿宋" w:cs="仿宋"/>
          <w:kern w:val="2"/>
          <w:sz w:val="32"/>
          <w:szCs w:val="32"/>
          <w:highlight w:val="none"/>
          <w:lang w:val="en-US" w:eastAsia="zh-CN"/>
        </w:rPr>
        <w:t>2023年度在职职工减少，退休人员增加，无新增人员</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2023年度一般公共预算财政拨款基本支出决算 268.95万元，其中：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（一）人员经费 266.10万元</w:t>
      </w:r>
      <w:r>
        <w:rPr>
          <w:rFonts w:hint="eastAsia" w:ascii="仿宋" w:hAnsi="仿宋" w:eastAsia="仿宋" w:cs="仿宋"/>
          <w:b w:val="0"/>
          <w:bCs w:val="0"/>
          <w:kern w:val="2"/>
          <w:sz w:val="32"/>
          <w:szCs w:val="32"/>
          <w:highlight w:val="none"/>
          <w:lang w:eastAsia="zh-CN"/>
        </w:rPr>
        <w:t>。</w:t>
      </w:r>
      <w:r>
        <w:rPr>
          <w:rFonts w:hint="eastAsia" w:ascii="仿宋" w:hAnsi="仿宋" w:eastAsia="仿宋" w:cs="仿宋"/>
          <w:kern w:val="2"/>
          <w:sz w:val="32"/>
          <w:szCs w:val="32"/>
          <w:highlight w:val="none"/>
          <w:lang w:eastAsia="zh-CN"/>
        </w:rPr>
        <w:t>主要包括：基本工资</w:t>
      </w:r>
      <w:r>
        <w:rPr>
          <w:rFonts w:hint="eastAsia" w:ascii="仿宋" w:hAnsi="仿宋" w:eastAsia="仿宋" w:cs="仿宋"/>
          <w:kern w:val="2"/>
          <w:sz w:val="32"/>
          <w:szCs w:val="32"/>
          <w:highlight w:val="none"/>
          <w:lang w:val="en-US" w:eastAsia="zh-CN"/>
        </w:rPr>
        <w:t>92.67万元</w:t>
      </w:r>
      <w:r>
        <w:rPr>
          <w:rFonts w:hint="eastAsia" w:ascii="仿宋" w:hAnsi="仿宋" w:eastAsia="仿宋" w:cs="仿宋"/>
          <w:kern w:val="2"/>
          <w:sz w:val="32"/>
          <w:szCs w:val="32"/>
          <w:highlight w:val="none"/>
          <w:lang w:eastAsia="zh-CN"/>
        </w:rPr>
        <w:t>、津贴补贴</w:t>
      </w:r>
      <w:r>
        <w:rPr>
          <w:rFonts w:hint="eastAsia" w:ascii="仿宋" w:hAnsi="仿宋" w:eastAsia="仿宋" w:cs="仿宋"/>
          <w:kern w:val="2"/>
          <w:sz w:val="32"/>
          <w:szCs w:val="32"/>
          <w:highlight w:val="none"/>
          <w:lang w:val="en-US" w:eastAsia="zh-CN"/>
        </w:rPr>
        <w:t>25.04万元</w:t>
      </w:r>
      <w:r>
        <w:rPr>
          <w:rFonts w:hint="eastAsia" w:ascii="仿宋" w:hAnsi="仿宋" w:eastAsia="仿宋" w:cs="仿宋"/>
          <w:kern w:val="2"/>
          <w:sz w:val="32"/>
          <w:szCs w:val="32"/>
          <w:highlight w:val="none"/>
          <w:lang w:eastAsia="zh-CN"/>
        </w:rPr>
        <w:t>、奖金</w:t>
      </w:r>
      <w:r>
        <w:rPr>
          <w:rFonts w:hint="eastAsia" w:ascii="仿宋" w:hAnsi="仿宋" w:eastAsia="仿宋" w:cs="仿宋"/>
          <w:kern w:val="2"/>
          <w:sz w:val="32"/>
          <w:szCs w:val="32"/>
          <w:highlight w:val="none"/>
          <w:lang w:val="en-US" w:eastAsia="zh-CN"/>
        </w:rPr>
        <w:t>6.75万元</w:t>
      </w:r>
      <w:r>
        <w:rPr>
          <w:rFonts w:hint="eastAsia" w:ascii="仿宋" w:hAnsi="仿宋" w:eastAsia="仿宋" w:cs="仿宋"/>
          <w:kern w:val="2"/>
          <w:sz w:val="32"/>
          <w:szCs w:val="32"/>
          <w:highlight w:val="none"/>
          <w:lang w:eastAsia="zh-CN"/>
        </w:rPr>
        <w:t>、社会保障缴费</w:t>
      </w:r>
      <w:r>
        <w:rPr>
          <w:rFonts w:hint="eastAsia" w:ascii="仿宋" w:hAnsi="仿宋" w:eastAsia="仿宋" w:cs="仿宋"/>
          <w:kern w:val="2"/>
          <w:sz w:val="32"/>
          <w:szCs w:val="32"/>
          <w:highlight w:val="none"/>
          <w:lang w:val="en-US" w:eastAsia="zh-CN"/>
        </w:rPr>
        <w:t>40.2万元</w:t>
      </w:r>
      <w:r>
        <w:rPr>
          <w:rFonts w:hint="eastAsia" w:ascii="仿宋" w:hAnsi="仿宋" w:eastAsia="仿宋" w:cs="仿宋"/>
          <w:kern w:val="2"/>
          <w:sz w:val="32"/>
          <w:szCs w:val="32"/>
          <w:highlight w:val="none"/>
          <w:lang w:eastAsia="zh-CN"/>
        </w:rPr>
        <w:t>、绩效工资</w:t>
      </w:r>
      <w:r>
        <w:rPr>
          <w:rFonts w:hint="eastAsia" w:ascii="仿宋" w:hAnsi="仿宋" w:eastAsia="仿宋" w:cs="仿宋"/>
          <w:kern w:val="2"/>
          <w:sz w:val="32"/>
          <w:szCs w:val="32"/>
          <w:highlight w:val="none"/>
          <w:lang w:val="en-US" w:eastAsia="zh-CN"/>
        </w:rPr>
        <w:t>21.12万元</w:t>
      </w:r>
      <w:r>
        <w:rPr>
          <w:rFonts w:hint="eastAsia" w:ascii="仿宋" w:hAnsi="仿宋" w:eastAsia="仿宋" w:cs="仿宋"/>
          <w:kern w:val="2"/>
          <w:sz w:val="32"/>
          <w:szCs w:val="32"/>
          <w:highlight w:val="none"/>
          <w:lang w:eastAsia="zh-CN"/>
        </w:rPr>
        <w:t>、退休费</w:t>
      </w:r>
      <w:r>
        <w:rPr>
          <w:rFonts w:hint="eastAsia" w:ascii="仿宋" w:hAnsi="仿宋" w:eastAsia="仿宋" w:cs="仿宋"/>
          <w:kern w:val="2"/>
          <w:sz w:val="32"/>
          <w:szCs w:val="32"/>
          <w:highlight w:val="none"/>
          <w:lang w:val="en-US" w:eastAsia="zh-CN"/>
        </w:rPr>
        <w:t>58.06万元</w:t>
      </w:r>
      <w:r>
        <w:rPr>
          <w:rFonts w:hint="eastAsia" w:ascii="仿宋" w:hAnsi="仿宋" w:eastAsia="仿宋" w:cs="仿宋"/>
          <w:kern w:val="2"/>
          <w:sz w:val="32"/>
          <w:szCs w:val="32"/>
          <w:highlight w:val="none"/>
          <w:lang w:eastAsia="zh-CN"/>
        </w:rPr>
        <w:t>、抚恤金</w:t>
      </w:r>
      <w:r>
        <w:rPr>
          <w:rFonts w:hint="eastAsia" w:ascii="仿宋" w:hAnsi="仿宋" w:eastAsia="仿宋" w:cs="仿宋"/>
          <w:kern w:val="2"/>
          <w:sz w:val="32"/>
          <w:szCs w:val="32"/>
          <w:highlight w:val="none"/>
          <w:lang w:val="en-US" w:eastAsia="zh-CN"/>
        </w:rPr>
        <w:t>7.49万元</w:t>
      </w:r>
      <w:r>
        <w:rPr>
          <w:rFonts w:hint="eastAsia" w:ascii="仿宋" w:hAnsi="仿宋" w:eastAsia="仿宋" w:cs="仿宋"/>
          <w:kern w:val="2"/>
          <w:sz w:val="32"/>
          <w:szCs w:val="32"/>
          <w:highlight w:val="none"/>
          <w:lang w:eastAsia="zh-CN"/>
        </w:rPr>
        <w:t>、住房公积金</w:t>
      </w:r>
      <w:r>
        <w:rPr>
          <w:rFonts w:hint="eastAsia" w:ascii="仿宋" w:hAnsi="仿宋" w:eastAsia="仿宋" w:cs="仿宋"/>
          <w:kern w:val="2"/>
          <w:sz w:val="32"/>
          <w:szCs w:val="32"/>
          <w:highlight w:val="none"/>
          <w:lang w:val="en-US" w:eastAsia="zh-CN"/>
        </w:rPr>
        <w:t>14.77万元。</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（二）公用经费 2.85万元。</w:t>
      </w:r>
      <w:r>
        <w:rPr>
          <w:rFonts w:hint="eastAsia" w:ascii="仿宋" w:hAnsi="仿宋" w:eastAsia="仿宋" w:cs="仿宋"/>
          <w:kern w:val="2"/>
          <w:sz w:val="32"/>
          <w:szCs w:val="32"/>
          <w:highlight w:val="none"/>
          <w:lang w:eastAsia="zh-CN"/>
        </w:rPr>
        <w:t>主要包括：</w:t>
      </w:r>
      <w:r>
        <w:rPr>
          <w:rFonts w:hint="eastAsia" w:ascii="仿宋" w:hAnsi="仿宋" w:eastAsia="仿宋" w:cs="仿宋"/>
          <w:kern w:val="2"/>
          <w:sz w:val="32"/>
          <w:szCs w:val="32"/>
          <w:highlight w:val="none"/>
          <w:lang w:val="en-US" w:eastAsia="zh-CN"/>
        </w:rPr>
        <w:t>办公费0.15万元，工会经费0.23万元，差旅费0.19万元，</w:t>
      </w:r>
      <w:r>
        <w:rPr>
          <w:rFonts w:hint="eastAsia" w:ascii="仿宋" w:hAnsi="仿宋" w:eastAsia="仿宋" w:cs="仿宋"/>
          <w:kern w:val="2"/>
          <w:sz w:val="32"/>
          <w:szCs w:val="32"/>
          <w:highlight w:val="none"/>
          <w:lang w:eastAsia="zh-CN"/>
        </w:rPr>
        <w:t>其他商品和服务支出</w:t>
      </w:r>
      <w:r>
        <w:rPr>
          <w:rFonts w:hint="eastAsia" w:ascii="仿宋" w:hAnsi="仿宋" w:eastAsia="仿宋" w:cs="仿宋"/>
          <w:kern w:val="2"/>
          <w:sz w:val="32"/>
          <w:szCs w:val="32"/>
          <w:highlight w:val="none"/>
          <w:lang w:val="en-US" w:eastAsia="zh-CN"/>
        </w:rPr>
        <w:t>2.28万元。</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七、一般公共预算财政拨款项目支出决算情况说明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2023年度一般公共预算财政拨款项目支出决算 153.51万元，其中：商品和服务支出 127.94万元。主要包括：办公费</w:t>
      </w:r>
      <w:r>
        <w:rPr>
          <w:rFonts w:hint="eastAsia" w:ascii="仿宋" w:hAnsi="仿宋" w:eastAsia="仿宋" w:cs="仿宋"/>
          <w:kern w:val="2"/>
          <w:sz w:val="32"/>
          <w:szCs w:val="32"/>
          <w:highlight w:val="none"/>
          <w:lang w:val="en-US" w:eastAsia="zh-CN"/>
        </w:rPr>
        <w:t>1.99万元</w:t>
      </w:r>
      <w:r>
        <w:rPr>
          <w:rFonts w:hint="eastAsia" w:ascii="仿宋" w:hAnsi="仿宋" w:eastAsia="仿宋" w:cs="仿宋"/>
          <w:kern w:val="2"/>
          <w:sz w:val="32"/>
          <w:szCs w:val="32"/>
          <w:highlight w:val="none"/>
          <w:lang w:eastAsia="zh-CN"/>
        </w:rPr>
        <w:t>、印刷费</w:t>
      </w:r>
      <w:r>
        <w:rPr>
          <w:rFonts w:hint="eastAsia" w:ascii="仿宋" w:hAnsi="仿宋" w:eastAsia="仿宋" w:cs="仿宋"/>
          <w:kern w:val="2"/>
          <w:sz w:val="32"/>
          <w:szCs w:val="32"/>
          <w:highlight w:val="none"/>
          <w:lang w:val="en-US" w:eastAsia="zh-CN"/>
        </w:rPr>
        <w:t>0.05万元</w:t>
      </w:r>
      <w:r>
        <w:rPr>
          <w:rFonts w:hint="eastAsia" w:ascii="仿宋" w:hAnsi="仿宋" w:eastAsia="仿宋" w:cs="仿宋"/>
          <w:kern w:val="2"/>
          <w:sz w:val="32"/>
          <w:szCs w:val="32"/>
          <w:highlight w:val="none"/>
          <w:lang w:eastAsia="zh-CN"/>
        </w:rPr>
        <w:t>、手续费</w:t>
      </w:r>
      <w:r>
        <w:rPr>
          <w:rFonts w:hint="eastAsia" w:ascii="仿宋" w:hAnsi="仿宋" w:eastAsia="仿宋" w:cs="仿宋"/>
          <w:kern w:val="2"/>
          <w:sz w:val="32"/>
          <w:szCs w:val="32"/>
          <w:highlight w:val="none"/>
          <w:lang w:val="en-US" w:eastAsia="zh-CN"/>
        </w:rPr>
        <w:t>0.03万元</w:t>
      </w:r>
      <w:r>
        <w:rPr>
          <w:rFonts w:hint="eastAsia" w:ascii="仿宋" w:hAnsi="仿宋" w:eastAsia="仿宋" w:cs="仿宋"/>
          <w:kern w:val="2"/>
          <w:sz w:val="32"/>
          <w:szCs w:val="32"/>
          <w:highlight w:val="none"/>
          <w:lang w:eastAsia="zh-CN"/>
        </w:rPr>
        <w:t>、邮电费</w:t>
      </w:r>
      <w:r>
        <w:rPr>
          <w:rFonts w:hint="eastAsia" w:ascii="仿宋" w:hAnsi="仿宋" w:eastAsia="仿宋" w:cs="仿宋"/>
          <w:kern w:val="2"/>
          <w:sz w:val="32"/>
          <w:szCs w:val="32"/>
          <w:highlight w:val="none"/>
          <w:lang w:val="en-US" w:eastAsia="zh-CN"/>
        </w:rPr>
        <w:t>1.63万元</w:t>
      </w:r>
      <w:r>
        <w:rPr>
          <w:rFonts w:hint="eastAsia" w:ascii="仿宋" w:hAnsi="仿宋" w:eastAsia="仿宋" w:cs="仿宋"/>
          <w:kern w:val="2"/>
          <w:sz w:val="32"/>
          <w:szCs w:val="32"/>
          <w:highlight w:val="none"/>
          <w:lang w:eastAsia="zh-CN"/>
        </w:rPr>
        <w:t>、物业管理费</w:t>
      </w:r>
      <w:r>
        <w:rPr>
          <w:rFonts w:hint="eastAsia" w:ascii="仿宋" w:hAnsi="仿宋" w:eastAsia="仿宋" w:cs="仿宋"/>
          <w:kern w:val="2"/>
          <w:sz w:val="32"/>
          <w:szCs w:val="32"/>
          <w:highlight w:val="none"/>
          <w:lang w:val="en-US" w:eastAsia="zh-CN"/>
        </w:rPr>
        <w:t>23.10万元</w:t>
      </w:r>
      <w:r>
        <w:rPr>
          <w:rFonts w:hint="eastAsia" w:ascii="仿宋" w:hAnsi="仿宋" w:eastAsia="仿宋" w:cs="仿宋"/>
          <w:kern w:val="2"/>
          <w:sz w:val="32"/>
          <w:szCs w:val="32"/>
          <w:highlight w:val="none"/>
          <w:lang w:eastAsia="zh-CN"/>
        </w:rPr>
        <w:t>、差旅费</w:t>
      </w:r>
      <w:r>
        <w:rPr>
          <w:rFonts w:hint="eastAsia" w:ascii="仿宋" w:hAnsi="仿宋" w:eastAsia="仿宋" w:cs="仿宋"/>
          <w:kern w:val="2"/>
          <w:sz w:val="32"/>
          <w:szCs w:val="32"/>
          <w:highlight w:val="none"/>
          <w:lang w:val="en-US" w:eastAsia="zh-CN"/>
        </w:rPr>
        <w:t>0.05万元</w:t>
      </w:r>
      <w:r>
        <w:rPr>
          <w:rFonts w:hint="eastAsia" w:ascii="仿宋" w:hAnsi="仿宋" w:eastAsia="仿宋" w:cs="仿宋"/>
          <w:kern w:val="2"/>
          <w:sz w:val="32"/>
          <w:szCs w:val="32"/>
          <w:highlight w:val="none"/>
          <w:lang w:eastAsia="zh-CN"/>
        </w:rPr>
        <w:t>、维修（护）费</w:t>
      </w:r>
      <w:r>
        <w:rPr>
          <w:rFonts w:hint="eastAsia" w:ascii="仿宋" w:hAnsi="仿宋" w:eastAsia="仿宋" w:cs="仿宋"/>
          <w:kern w:val="2"/>
          <w:sz w:val="32"/>
          <w:szCs w:val="32"/>
          <w:highlight w:val="none"/>
          <w:lang w:val="en-US" w:eastAsia="zh-CN"/>
        </w:rPr>
        <w:t>64.78万元</w:t>
      </w:r>
      <w:r>
        <w:rPr>
          <w:rFonts w:hint="eastAsia" w:ascii="仿宋" w:hAnsi="仿宋" w:eastAsia="仿宋" w:cs="仿宋"/>
          <w:kern w:val="2"/>
          <w:sz w:val="32"/>
          <w:szCs w:val="32"/>
          <w:highlight w:val="none"/>
          <w:lang w:eastAsia="zh-CN"/>
        </w:rPr>
        <w:t>、专用材料费</w:t>
      </w:r>
      <w:r>
        <w:rPr>
          <w:rFonts w:hint="eastAsia" w:ascii="仿宋" w:hAnsi="仿宋" w:eastAsia="仿宋" w:cs="仿宋"/>
          <w:kern w:val="2"/>
          <w:sz w:val="32"/>
          <w:szCs w:val="32"/>
          <w:highlight w:val="none"/>
          <w:lang w:val="en-US" w:eastAsia="zh-CN"/>
        </w:rPr>
        <w:t>3.10万元</w:t>
      </w:r>
      <w:r>
        <w:rPr>
          <w:rFonts w:hint="eastAsia" w:ascii="仿宋" w:hAnsi="仿宋" w:eastAsia="仿宋" w:cs="仿宋"/>
          <w:kern w:val="2"/>
          <w:sz w:val="32"/>
          <w:szCs w:val="32"/>
          <w:highlight w:val="none"/>
          <w:lang w:eastAsia="zh-CN"/>
        </w:rPr>
        <w:t>、劳务费</w:t>
      </w:r>
      <w:r>
        <w:rPr>
          <w:rFonts w:hint="eastAsia" w:ascii="仿宋" w:hAnsi="仿宋" w:eastAsia="仿宋" w:cs="仿宋"/>
          <w:kern w:val="2"/>
          <w:sz w:val="32"/>
          <w:szCs w:val="32"/>
          <w:highlight w:val="none"/>
          <w:lang w:val="en-US" w:eastAsia="zh-CN"/>
        </w:rPr>
        <w:t>32.91万元</w:t>
      </w:r>
      <w:r>
        <w:rPr>
          <w:rFonts w:hint="eastAsia" w:ascii="仿宋" w:hAnsi="仿宋" w:eastAsia="仿宋" w:cs="仿宋"/>
          <w:kern w:val="2"/>
          <w:sz w:val="32"/>
          <w:szCs w:val="32"/>
          <w:highlight w:val="none"/>
          <w:lang w:eastAsia="zh-CN"/>
        </w:rPr>
        <w:t>、其他商品和服务支出</w:t>
      </w:r>
      <w:r>
        <w:rPr>
          <w:rFonts w:hint="eastAsia" w:ascii="仿宋" w:hAnsi="仿宋" w:eastAsia="仿宋" w:cs="仿宋"/>
          <w:kern w:val="2"/>
          <w:sz w:val="32"/>
          <w:szCs w:val="32"/>
          <w:highlight w:val="none"/>
          <w:lang w:val="en-US" w:eastAsia="zh-CN"/>
        </w:rPr>
        <w:t>0.31万元</w:t>
      </w:r>
      <w:r>
        <w:rPr>
          <w:rFonts w:hint="eastAsia" w:ascii="仿宋" w:hAnsi="仿宋" w:eastAsia="仿宋" w:cs="仿宋"/>
          <w:kern w:val="2"/>
          <w:sz w:val="32"/>
          <w:szCs w:val="32"/>
          <w:highlight w:val="none"/>
          <w:lang w:eastAsia="zh-CN"/>
        </w:rPr>
        <w:t>。</w:t>
      </w:r>
      <w:r>
        <w:rPr>
          <w:rFonts w:hint="eastAsia" w:ascii="仿宋" w:hAnsi="仿宋" w:eastAsia="仿宋" w:cs="仿宋"/>
          <w:kern w:val="2"/>
          <w:sz w:val="32"/>
          <w:szCs w:val="32"/>
          <w:highlight w:val="none"/>
          <w:lang w:val="en-US" w:eastAsia="zh-CN"/>
        </w:rPr>
        <w:t>资本性支出25.57万元。主要包括：办公设备购置11.74万元，大型修缮13.82万元。</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八、财政拨款“三公”经费支出决算情况说明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（一）财政拨款“三公”经费支出总体情况说明。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2023年度财政拨款“三公”经费全年预算 0.00万元，支出决算 0.00万元，完成预算的</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%。其中：因公出国（境）费全年预算 0.00万元，支出决算 0.00万元，完成预算的</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 xml:space="preserve">%；公务用车购置及运行维护费全年预算 0.00万元，支出决算 0.00万元，完成预算的 </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%；公务接待费全年预算 0.00万元，支出决算 0.00万元，完成预算的</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%。2023年度一般公共预算财政拨款“三公”经费支出决算与预算差异原因：不存在此项目。</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w:t>
      </w:r>
      <w:r>
        <w:rPr>
          <w:rFonts w:hint="eastAsia" w:ascii="黑体" w:hAnsi="黑体" w:eastAsia="黑体" w:cs="黑体"/>
          <w:b w:val="0"/>
          <w:bCs w:val="0"/>
          <w:kern w:val="0"/>
          <w:sz w:val="32"/>
          <w:szCs w:val="32"/>
          <w:highlight w:val="none"/>
          <w:lang w:eastAsia="zh-CN"/>
        </w:rPr>
        <w:t xml:space="preserve"> （二）财政拨款“三公”经费支出具体情况说明。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2023年度财政拨款“三公”经费支出 0.00万元。因公出国（境）费支出 0.00万元，占</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%；公务用车购置及运行维护费支出 0.00万元，占</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%；公务接待费支出 0.00万元，占</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1.因公出国（境）费支出 0.00万元，全年出国（境）团组0 个，累计0 人次。与上年决算相比，增加 0.00万元，增长</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%，变动原因：不存在此项目。</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2.公务用车购置及运行维护费支出 0.00万元。其中：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（1）公务用车购置支出 0.00万元。本年度使用财政拨款购置公务用车0 辆，开支内容：</w:t>
      </w:r>
      <w:r>
        <w:rPr>
          <w:rFonts w:hint="eastAsia" w:ascii="仿宋" w:hAnsi="仿宋" w:eastAsia="仿宋" w:cs="仿宋"/>
          <w:kern w:val="2"/>
          <w:sz w:val="32"/>
          <w:szCs w:val="32"/>
          <w:highlight w:val="none"/>
          <w:lang w:val="en-US" w:eastAsia="zh-CN"/>
        </w:rPr>
        <w:t>无</w:t>
      </w:r>
      <w:r>
        <w:rPr>
          <w:rFonts w:hint="eastAsia" w:ascii="仿宋" w:hAnsi="仿宋" w:eastAsia="仿宋" w:cs="仿宋"/>
          <w:kern w:val="2"/>
          <w:sz w:val="32"/>
          <w:szCs w:val="32"/>
          <w:highlight w:val="none"/>
          <w:lang w:eastAsia="zh-CN"/>
        </w:rPr>
        <w:t>。与上年决算相比，增加 0.00万元，增长</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%，变动原因：</w:t>
      </w:r>
      <w:r>
        <w:rPr>
          <w:rFonts w:hint="eastAsia" w:ascii="仿宋" w:hAnsi="仿宋" w:eastAsia="仿宋" w:cs="仿宋"/>
          <w:kern w:val="2"/>
          <w:sz w:val="32"/>
          <w:szCs w:val="32"/>
          <w:highlight w:val="none"/>
          <w:lang w:val="en-US" w:eastAsia="zh-CN"/>
        </w:rPr>
        <w:t>不存在此项目</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（2）公务用车运行维护费支出 0.00万元。公务用车运行维护费主要用于按规定保留的公务用车的燃料费、维修费、过桥过路费、保险费、安全奖励费用等支出。截至2023年12月31日，使用财政拨款开支的公务用车保有量为0 辆。与上年决算相比，增加00万元，增长</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%，变动原因：</w:t>
      </w:r>
      <w:r>
        <w:rPr>
          <w:rFonts w:hint="eastAsia" w:ascii="仿宋" w:hAnsi="仿宋" w:eastAsia="仿宋" w:cs="仿宋"/>
          <w:kern w:val="2"/>
          <w:sz w:val="32"/>
          <w:szCs w:val="32"/>
          <w:highlight w:val="none"/>
          <w:lang w:val="en-US" w:eastAsia="zh-CN"/>
        </w:rPr>
        <w:t>不存在此项目</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3.公务接待费支出 0.00万元。其中：国内公务接待支出 0.00万元，接待0 批次，0 人次，开支内容：</w:t>
      </w:r>
      <w:r>
        <w:rPr>
          <w:rFonts w:hint="eastAsia" w:ascii="仿宋" w:hAnsi="仿宋" w:eastAsia="仿宋" w:cs="仿宋"/>
          <w:kern w:val="2"/>
          <w:sz w:val="32"/>
          <w:szCs w:val="32"/>
          <w:highlight w:val="none"/>
          <w:lang w:val="en-US" w:eastAsia="zh-CN"/>
        </w:rPr>
        <w:t>无</w:t>
      </w:r>
      <w:r>
        <w:rPr>
          <w:rFonts w:hint="eastAsia" w:ascii="仿宋" w:hAnsi="仿宋" w:eastAsia="仿宋" w:cs="仿宋"/>
          <w:kern w:val="2"/>
          <w:sz w:val="32"/>
          <w:szCs w:val="32"/>
          <w:highlight w:val="none"/>
          <w:lang w:eastAsia="zh-CN"/>
        </w:rPr>
        <w:t>；国（境）外公务接待支出 0.00万元，接待0 批次，0 人次，开支内容：</w:t>
      </w:r>
      <w:r>
        <w:rPr>
          <w:rFonts w:hint="eastAsia" w:ascii="仿宋" w:hAnsi="仿宋" w:eastAsia="仿宋" w:cs="仿宋"/>
          <w:kern w:val="2"/>
          <w:sz w:val="32"/>
          <w:szCs w:val="32"/>
          <w:highlight w:val="none"/>
          <w:lang w:val="en-US" w:eastAsia="zh-CN"/>
        </w:rPr>
        <w:t>无</w:t>
      </w:r>
      <w:r>
        <w:rPr>
          <w:rFonts w:hint="eastAsia" w:ascii="仿宋" w:hAnsi="仿宋" w:eastAsia="仿宋" w:cs="仿宋"/>
          <w:kern w:val="2"/>
          <w:sz w:val="32"/>
          <w:szCs w:val="32"/>
          <w:highlight w:val="none"/>
          <w:lang w:eastAsia="zh-CN"/>
        </w:rPr>
        <w:t>。与上年决算相比，增加 0.00万元，增长</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%，变动原因：</w:t>
      </w:r>
      <w:r>
        <w:rPr>
          <w:rFonts w:hint="eastAsia" w:ascii="仿宋" w:hAnsi="仿宋" w:eastAsia="仿宋" w:cs="仿宋"/>
          <w:kern w:val="2"/>
          <w:sz w:val="32"/>
          <w:szCs w:val="32"/>
          <w:highlight w:val="none"/>
          <w:lang w:val="en-US" w:eastAsia="zh-CN"/>
        </w:rPr>
        <w:t>不存在此项目</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w:t>
      </w:r>
      <w:r>
        <w:rPr>
          <w:rFonts w:hint="eastAsia" w:ascii="黑体" w:hAnsi="黑体" w:eastAsia="黑体" w:cs="黑体"/>
          <w:b w:val="0"/>
          <w:bCs w:val="0"/>
          <w:kern w:val="0"/>
          <w:sz w:val="32"/>
          <w:szCs w:val="32"/>
          <w:highlight w:val="none"/>
          <w:lang w:eastAsia="zh-CN"/>
        </w:rPr>
        <w:t xml:space="preserve"> 九、政府性基金预算财政拨款支出决算情况说明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2023年度政府性基金预算财政拨款支出决算 0.00万元。与上年决算相比，增加0.00万元，增长</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%，变动原因：本单位无政府性基金预算财政拨款收、支、余。</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  十、国有资本经营预算财政拨款支出决算情况说明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2023年度国有资本经营预算财政拨款支出决算 0.00万元。与上年决算相比，增加0.00万元，增长</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%，变动原因：本单位无国有资本经营预算财政拨款收、支、余。</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十一、机构运行经费支出决算情况说明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2023年度机构运行经费支出决算 2.85万元。比上年决算相比，减少1.78万元，减少38.42%，变动原因：</w:t>
      </w:r>
      <w:r>
        <w:rPr>
          <w:rFonts w:hint="eastAsia" w:ascii="仿宋" w:hAnsi="仿宋" w:eastAsia="仿宋" w:cs="仿宋"/>
          <w:kern w:val="2"/>
          <w:sz w:val="32"/>
          <w:szCs w:val="32"/>
          <w:highlight w:val="none"/>
          <w:lang w:val="en-US" w:eastAsia="zh-CN"/>
        </w:rPr>
        <w:t>人员减少，商品和服务支出减少。</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十二、政府采购支出决算情况说明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2023年度政府采购支出总额 105.70万元，其中：政府采购货物支出 17.91万元、政府采购工程支出 75.59万元、政府采购服务支出 12.20万元。政府采购授予中小企业合同金额 91.60万元，占政府采购支出总额的</w:t>
      </w:r>
      <w:r>
        <w:rPr>
          <w:rFonts w:hint="eastAsia" w:ascii="仿宋" w:hAnsi="仿宋" w:eastAsia="仿宋" w:cs="仿宋"/>
          <w:kern w:val="2"/>
          <w:sz w:val="32"/>
          <w:szCs w:val="32"/>
          <w:highlight w:val="none"/>
          <w:lang w:val="en-US" w:eastAsia="zh-CN"/>
        </w:rPr>
        <w:t>86.66</w:t>
      </w:r>
      <w:r>
        <w:rPr>
          <w:rFonts w:hint="eastAsia" w:ascii="仿宋" w:hAnsi="仿宋" w:eastAsia="仿宋" w:cs="仿宋"/>
          <w:kern w:val="2"/>
          <w:sz w:val="32"/>
          <w:szCs w:val="32"/>
          <w:highlight w:val="none"/>
          <w:lang w:eastAsia="zh-CN"/>
        </w:rPr>
        <w:t>%，其中：授予小微企业合同金额  91.60万元，占政府采购支出总额的</w:t>
      </w:r>
      <w:r>
        <w:rPr>
          <w:rFonts w:hint="eastAsia" w:ascii="仿宋" w:hAnsi="仿宋" w:eastAsia="仿宋" w:cs="仿宋"/>
          <w:kern w:val="2"/>
          <w:sz w:val="32"/>
          <w:szCs w:val="32"/>
          <w:highlight w:val="none"/>
          <w:lang w:val="en-US" w:eastAsia="zh-CN"/>
        </w:rPr>
        <w:t>86.66</w:t>
      </w:r>
      <w:r>
        <w:rPr>
          <w:rFonts w:hint="eastAsia" w:ascii="仿宋" w:hAnsi="仿宋" w:eastAsia="仿宋" w:cs="仿宋"/>
          <w:kern w:val="2"/>
          <w:sz w:val="32"/>
          <w:szCs w:val="32"/>
          <w:highlight w:val="none"/>
          <w:lang w:eastAsia="zh-CN"/>
        </w:rPr>
        <w:t>%；货物采购授予中小企业合同金额占货物支出金额的</w:t>
      </w:r>
      <w:r>
        <w:rPr>
          <w:rFonts w:hint="eastAsia" w:ascii="仿宋" w:hAnsi="仿宋" w:eastAsia="仿宋" w:cs="仿宋"/>
          <w:kern w:val="2"/>
          <w:sz w:val="32"/>
          <w:szCs w:val="32"/>
          <w:highlight w:val="none"/>
          <w:lang w:val="en-US" w:eastAsia="zh-CN"/>
        </w:rPr>
        <w:t>100</w:t>
      </w:r>
      <w:r>
        <w:rPr>
          <w:rFonts w:hint="eastAsia" w:ascii="仿宋" w:hAnsi="仿宋" w:eastAsia="仿宋" w:cs="仿宋"/>
          <w:kern w:val="2"/>
          <w:sz w:val="32"/>
          <w:szCs w:val="32"/>
          <w:highlight w:val="none"/>
          <w:lang w:eastAsia="zh-CN"/>
        </w:rPr>
        <w:t>%，工程采购授予中小企业合同金额占工程支出金额的</w:t>
      </w:r>
      <w:r>
        <w:rPr>
          <w:rFonts w:hint="eastAsia" w:ascii="仿宋" w:hAnsi="仿宋" w:eastAsia="仿宋" w:cs="仿宋"/>
          <w:kern w:val="2"/>
          <w:sz w:val="32"/>
          <w:szCs w:val="32"/>
          <w:highlight w:val="none"/>
          <w:lang w:val="en-US" w:eastAsia="zh-CN"/>
        </w:rPr>
        <w:t>100</w:t>
      </w:r>
      <w:r>
        <w:rPr>
          <w:rFonts w:hint="eastAsia" w:ascii="仿宋" w:hAnsi="仿宋" w:eastAsia="仿宋" w:cs="仿宋"/>
          <w:kern w:val="2"/>
          <w:sz w:val="32"/>
          <w:szCs w:val="32"/>
          <w:highlight w:val="none"/>
          <w:lang w:eastAsia="zh-CN"/>
        </w:rPr>
        <w:t>%，服务采购授予中小企业合同金额占服务支出金额的</w:t>
      </w:r>
      <w:r>
        <w:rPr>
          <w:rFonts w:hint="eastAsia" w:ascii="仿宋" w:hAnsi="仿宋" w:eastAsia="仿宋" w:cs="仿宋"/>
          <w:kern w:val="2"/>
          <w:sz w:val="32"/>
          <w:szCs w:val="32"/>
          <w:highlight w:val="none"/>
          <w:lang w:val="en-US" w:eastAsia="zh-CN"/>
        </w:rPr>
        <w:t>100</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十三、国有资产占用情况说明</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内蒙古自治区人民医院附属卫校 截至2023年12月31日，本单位共有车辆 0辆，其中：副部（省）级及以上领导用车0 辆、主要负责人用车 0辆、机要通信用车 0辆、应急保障用车 0辆、执法执勤用车 0辆、特种专业技术用车 0辆、离退休干部服务用车 0辆，其他用车 0辆；单价100万元（含）以上的设备（不含车辆） 0台（套）。</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十四、预算绩效情况说明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w:t>
      </w:r>
      <w:r>
        <w:rPr>
          <w:rFonts w:hint="eastAsia" w:ascii="黑体" w:hAnsi="黑体" w:eastAsia="黑体" w:cs="黑体"/>
          <w:b w:val="0"/>
          <w:bCs w:val="0"/>
          <w:kern w:val="0"/>
          <w:sz w:val="32"/>
          <w:szCs w:val="32"/>
          <w:highlight w:val="none"/>
          <w:lang w:eastAsia="zh-CN"/>
        </w:rPr>
        <w:t xml:space="preserve"> （一）预算绩效管理工作开展情况。</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根据预算绩效管理要求组织对2023年一般公共预算项目支出全面开展绩效自评，其中一级项目</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个，二级项目</w:t>
      </w:r>
      <w:r>
        <w:rPr>
          <w:rFonts w:hint="eastAsia" w:ascii="仿宋" w:hAnsi="仿宋" w:eastAsia="仿宋" w:cs="仿宋"/>
          <w:kern w:val="2"/>
          <w:sz w:val="32"/>
          <w:szCs w:val="32"/>
          <w:highlight w:val="none"/>
          <w:lang w:val="en-US" w:eastAsia="zh-CN"/>
        </w:rPr>
        <w:t>2</w:t>
      </w:r>
      <w:r>
        <w:rPr>
          <w:rFonts w:hint="eastAsia" w:ascii="仿宋" w:hAnsi="仿宋" w:eastAsia="仿宋" w:cs="仿宋"/>
          <w:kern w:val="2"/>
          <w:sz w:val="32"/>
          <w:szCs w:val="32"/>
          <w:highlight w:val="none"/>
          <w:lang w:eastAsia="zh-CN"/>
        </w:rPr>
        <w:t>个，共涉及资金</w:t>
      </w:r>
      <w:r>
        <w:rPr>
          <w:rFonts w:hint="eastAsia" w:ascii="仿宋" w:hAnsi="仿宋" w:eastAsia="仿宋" w:cs="仿宋"/>
          <w:kern w:val="2"/>
          <w:sz w:val="32"/>
          <w:szCs w:val="32"/>
          <w:highlight w:val="none"/>
          <w:lang w:val="en-US" w:eastAsia="zh-CN"/>
        </w:rPr>
        <w:t>153.51</w:t>
      </w:r>
      <w:r>
        <w:rPr>
          <w:rFonts w:hint="eastAsia" w:ascii="仿宋" w:hAnsi="仿宋" w:eastAsia="仿宋" w:cs="仿宋"/>
          <w:kern w:val="2"/>
          <w:sz w:val="32"/>
          <w:szCs w:val="32"/>
          <w:highlight w:val="none"/>
          <w:lang w:eastAsia="zh-CN"/>
        </w:rPr>
        <w:t>万元，占一般公共预算项目支出总额的100%；政府性基金预算项目</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个，其中，一级项目</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个，二级项目</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个，共涉及资金</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万元，占应纳入绩效自评的政府性基金预算项目支出总额的</w:t>
      </w:r>
      <w:r>
        <w:rPr>
          <w:rFonts w:hint="eastAsia" w:ascii="仿宋" w:hAnsi="仿宋" w:eastAsia="仿宋" w:cs="仿宋"/>
          <w:kern w:val="2"/>
          <w:sz w:val="32"/>
          <w:szCs w:val="32"/>
          <w:highlight w:val="none"/>
          <w:lang w:val="en-US" w:eastAsia="zh-CN"/>
        </w:rPr>
        <w:t>100</w:t>
      </w:r>
      <w:r>
        <w:rPr>
          <w:rFonts w:hint="eastAsia" w:ascii="仿宋" w:hAnsi="仿宋" w:eastAsia="仿宋" w:cs="仿宋"/>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组织对“中央中职学生资助项目”、“中职学生资助项目”</w:t>
      </w:r>
      <w:r>
        <w:rPr>
          <w:rFonts w:hint="eastAsia" w:ascii="仿宋" w:hAnsi="仿宋" w:eastAsia="仿宋" w:cs="仿宋"/>
          <w:kern w:val="2"/>
          <w:sz w:val="32"/>
          <w:szCs w:val="32"/>
          <w:highlight w:val="none"/>
          <w:lang w:val="en-US" w:eastAsia="zh-CN"/>
        </w:rPr>
        <w:t>2</w:t>
      </w:r>
      <w:r>
        <w:rPr>
          <w:rFonts w:hint="eastAsia" w:ascii="仿宋" w:hAnsi="仿宋" w:eastAsia="仿宋" w:cs="仿宋"/>
          <w:kern w:val="2"/>
          <w:sz w:val="32"/>
          <w:szCs w:val="32"/>
          <w:highlight w:val="none"/>
          <w:lang w:eastAsia="zh-CN"/>
        </w:rPr>
        <w:t>个项目开展了单位评价，涉及一般公共预算支出</w:t>
      </w:r>
      <w:r>
        <w:rPr>
          <w:rFonts w:hint="eastAsia" w:ascii="仿宋" w:hAnsi="仿宋" w:eastAsia="仿宋" w:cs="仿宋"/>
          <w:kern w:val="2"/>
          <w:sz w:val="32"/>
          <w:szCs w:val="32"/>
          <w:highlight w:val="none"/>
          <w:lang w:val="en-US" w:eastAsia="zh-CN"/>
        </w:rPr>
        <w:t>153.51</w:t>
      </w:r>
      <w:r>
        <w:rPr>
          <w:rFonts w:hint="eastAsia" w:ascii="仿宋" w:hAnsi="仿宋" w:eastAsia="仿宋" w:cs="仿宋"/>
          <w:kern w:val="2"/>
          <w:sz w:val="32"/>
          <w:szCs w:val="32"/>
          <w:highlight w:val="none"/>
          <w:lang w:eastAsia="zh-CN"/>
        </w:rPr>
        <w:t>万元，政府性基金支出</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万元。</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highlight w:val="none"/>
          <w:lang w:eastAsia="zh-CN"/>
        </w:rPr>
      </w:pPr>
      <w:r>
        <w:rPr>
          <w:rFonts w:hint="eastAsia" w:ascii="仿宋" w:hAnsi="仿宋" w:eastAsia="仿宋" w:cs="仿宋"/>
          <w:kern w:val="2"/>
          <w:sz w:val="32"/>
          <w:szCs w:val="32"/>
          <w:highlight w:val="none"/>
          <w:lang w:eastAsia="zh-CN"/>
        </w:rPr>
        <w:t xml:space="preserve">    </w:t>
      </w:r>
      <w:r>
        <w:rPr>
          <w:rFonts w:hint="eastAsia" w:ascii="黑体" w:hAnsi="黑体" w:eastAsia="黑体" w:cs="黑体"/>
          <w:b w:val="0"/>
          <w:bCs w:val="0"/>
          <w:kern w:val="0"/>
          <w:sz w:val="32"/>
          <w:szCs w:val="32"/>
          <w:highlight w:val="none"/>
          <w:lang w:eastAsia="zh-CN"/>
        </w:rPr>
        <w:t>（二）单位决算中项目绩效自评结果。</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eastAsia="zh-CN"/>
        </w:rPr>
      </w:pPr>
      <w:r>
        <w:rPr>
          <w:rFonts w:hint="eastAsia" w:ascii="仿宋" w:hAnsi="仿宋" w:eastAsia="仿宋" w:cs="仿宋"/>
          <w:kern w:val="2"/>
          <w:sz w:val="32"/>
          <w:szCs w:val="32"/>
          <w:highlight w:val="none"/>
          <w:lang w:eastAsia="zh-CN"/>
        </w:rPr>
        <w:t>    内蒙古自治区人民医院附属卫校 2023年度在决算中反映</w:t>
      </w:r>
      <w:r>
        <w:rPr>
          <w:rFonts w:hint="eastAsia" w:ascii="仿宋" w:hAnsi="仿宋" w:eastAsia="仿宋" w:cs="仿宋"/>
          <w:kern w:val="2"/>
          <w:sz w:val="32"/>
          <w:szCs w:val="32"/>
          <w:highlight w:val="none"/>
          <w:lang w:val="en-US" w:eastAsia="zh-CN"/>
        </w:rPr>
        <w:t>2</w:t>
      </w:r>
      <w:r>
        <w:rPr>
          <w:rFonts w:hint="eastAsia" w:ascii="仿宋" w:hAnsi="仿宋" w:eastAsia="仿宋" w:cs="仿宋"/>
          <w:kern w:val="2"/>
          <w:sz w:val="32"/>
          <w:szCs w:val="32"/>
          <w:highlight w:val="none"/>
          <w:lang w:eastAsia="zh-CN"/>
        </w:rPr>
        <w:t>个一般公共预算项目，以及</w:t>
      </w:r>
      <w:r>
        <w:rPr>
          <w:rFonts w:hint="eastAsia" w:ascii="仿宋" w:hAnsi="仿宋" w:eastAsia="仿宋" w:cs="仿宋"/>
          <w:kern w:val="2"/>
          <w:sz w:val="32"/>
          <w:szCs w:val="32"/>
          <w:highlight w:val="none"/>
          <w:lang w:val="en-US" w:eastAsia="zh-CN"/>
        </w:rPr>
        <w:t>0</w:t>
      </w:r>
      <w:r>
        <w:rPr>
          <w:rFonts w:hint="eastAsia" w:ascii="仿宋" w:hAnsi="仿宋" w:eastAsia="仿宋" w:cs="仿宋"/>
          <w:kern w:val="2"/>
          <w:sz w:val="32"/>
          <w:szCs w:val="32"/>
          <w:highlight w:val="none"/>
          <w:lang w:eastAsia="zh-CN"/>
        </w:rPr>
        <w:t>个政府性基金项目，共</w:t>
      </w:r>
      <w:r>
        <w:rPr>
          <w:rFonts w:hint="eastAsia" w:ascii="仿宋" w:hAnsi="仿宋" w:eastAsia="仿宋" w:cs="仿宋"/>
          <w:kern w:val="2"/>
          <w:sz w:val="32"/>
          <w:szCs w:val="32"/>
          <w:highlight w:val="none"/>
          <w:lang w:val="en-US" w:eastAsia="zh-CN"/>
        </w:rPr>
        <w:t>2</w:t>
      </w:r>
      <w:r>
        <w:rPr>
          <w:rFonts w:hint="eastAsia" w:ascii="仿宋" w:hAnsi="仿宋" w:eastAsia="仿宋" w:cs="仿宋"/>
          <w:kern w:val="2"/>
          <w:sz w:val="32"/>
          <w:szCs w:val="32"/>
          <w:highlight w:val="none"/>
          <w:lang w:eastAsia="zh-CN"/>
        </w:rPr>
        <w:t>个项目的绩效自评结果。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1.中职学生资助项目自评综述</w:t>
      </w:r>
      <w:r>
        <w:rPr>
          <w:rFonts w:hint="eastAsia" w:ascii="仿宋" w:hAnsi="仿宋" w:eastAsia="仿宋" w:cs="仿宋"/>
          <w:kern w:val="2"/>
          <w:sz w:val="32"/>
          <w:szCs w:val="32"/>
          <w:highlight w:val="none"/>
          <w:lang w:eastAsia="zh-CN"/>
        </w:rPr>
        <w:t>：根据年初设定的绩效目标，项目自评得分</w:t>
      </w:r>
      <w:r>
        <w:rPr>
          <w:rFonts w:hint="eastAsia" w:ascii="仿宋" w:hAnsi="仿宋" w:eastAsia="仿宋" w:cs="仿宋"/>
          <w:kern w:val="2"/>
          <w:sz w:val="32"/>
          <w:szCs w:val="32"/>
          <w:highlight w:val="none"/>
          <w:lang w:val="en-US" w:eastAsia="zh-CN"/>
        </w:rPr>
        <w:t>98.48</w:t>
      </w:r>
      <w:r>
        <w:rPr>
          <w:rFonts w:hint="eastAsia" w:ascii="仿宋" w:hAnsi="仿宋" w:eastAsia="仿宋" w:cs="仿宋"/>
          <w:kern w:val="2"/>
          <w:sz w:val="32"/>
          <w:szCs w:val="32"/>
          <w:highlight w:val="none"/>
          <w:lang w:eastAsia="zh-CN"/>
        </w:rPr>
        <w:t>分。全年预算数为</w:t>
      </w:r>
      <w:r>
        <w:rPr>
          <w:rFonts w:hint="eastAsia" w:ascii="仿宋" w:hAnsi="仿宋" w:eastAsia="仿宋" w:cs="仿宋"/>
          <w:kern w:val="2"/>
          <w:sz w:val="32"/>
          <w:szCs w:val="32"/>
          <w:highlight w:val="none"/>
          <w:lang w:val="en-US" w:eastAsia="zh-CN"/>
        </w:rPr>
        <w:t>128.35</w:t>
      </w:r>
      <w:r>
        <w:rPr>
          <w:rFonts w:hint="eastAsia" w:ascii="仿宋" w:hAnsi="仿宋" w:eastAsia="仿宋" w:cs="仿宋"/>
          <w:kern w:val="2"/>
          <w:sz w:val="32"/>
          <w:szCs w:val="32"/>
          <w:highlight w:val="none"/>
          <w:lang w:eastAsia="zh-CN"/>
        </w:rPr>
        <w:t>万元，执行数为</w:t>
      </w:r>
      <w:r>
        <w:rPr>
          <w:rFonts w:hint="eastAsia" w:ascii="仿宋" w:hAnsi="仿宋" w:eastAsia="仿宋" w:cs="仿宋"/>
          <w:kern w:val="2"/>
          <w:sz w:val="32"/>
          <w:szCs w:val="32"/>
          <w:highlight w:val="none"/>
          <w:lang w:val="en-US" w:eastAsia="zh-CN"/>
        </w:rPr>
        <w:t>108.79</w:t>
      </w:r>
      <w:r>
        <w:rPr>
          <w:rFonts w:hint="eastAsia" w:ascii="仿宋" w:hAnsi="仿宋" w:eastAsia="仿宋" w:cs="仿宋"/>
          <w:kern w:val="2"/>
          <w:sz w:val="32"/>
          <w:szCs w:val="32"/>
          <w:highlight w:val="none"/>
          <w:lang w:eastAsia="zh-CN"/>
        </w:rPr>
        <w:t>万元，完成预算的</w:t>
      </w:r>
      <w:r>
        <w:rPr>
          <w:rFonts w:hint="eastAsia" w:ascii="仿宋" w:hAnsi="仿宋" w:eastAsia="仿宋" w:cs="仿宋"/>
          <w:kern w:val="2"/>
          <w:sz w:val="32"/>
          <w:szCs w:val="32"/>
          <w:highlight w:val="none"/>
          <w:lang w:val="en-US" w:eastAsia="zh-CN"/>
        </w:rPr>
        <w:t>84.76</w:t>
      </w:r>
      <w:r>
        <w:rPr>
          <w:rFonts w:hint="eastAsia" w:ascii="仿宋" w:hAnsi="仿宋" w:eastAsia="仿宋" w:cs="仿宋"/>
          <w:kern w:val="2"/>
          <w:sz w:val="32"/>
          <w:szCs w:val="32"/>
          <w:highlight w:val="none"/>
          <w:lang w:eastAsia="zh-CN"/>
        </w:rPr>
        <w:t>%。项目绩效目标完成情况：</w:t>
      </w:r>
      <w:r>
        <w:rPr>
          <w:rFonts w:hint="eastAsia" w:ascii="仿宋" w:hAnsi="仿宋" w:eastAsia="仿宋" w:cs="仿宋"/>
          <w:kern w:val="2"/>
          <w:sz w:val="32"/>
          <w:szCs w:val="32"/>
          <w:highlight w:val="none"/>
          <w:lang w:val="en-US" w:eastAsia="zh-CN"/>
        </w:rPr>
        <w:t>经过 2023年一年的辛苦工作，我们基本完成了该项目的相关任务，达到了预期目标，该项目经费主要用于护理学生的培养培训，为社会输送一批高质量护理人员提供保证。发现的主要问题及原因：实施、资金管理使用存在问题。下一步改进措施：在今后专项经费执行工作中，不断改进工作方式，增强预算编制的科学性、现实性、可行性 和准确性。编制年初预算要根据自身职能目标拟定，参考上年度预算执行情况、相关支出绩效评价结果和本年度的收支预测，按照规定程序多方征求意见。项目申报前期要进行充分的调查研究，严格论证项目实施的充分性和必要性，合理测算所需资金的多少，必须有足够的测算依据，准确评估资金投入使用的效益，提高预算编制的科学性。 预算编制要实事求是，切实可行，要尽可能完整，要细化到项目及具体的事项 。预算一经确定，应严格按预算执行，减少预算调整。</w:t>
      </w:r>
    </w:p>
    <w:tbl>
      <w:tblPr>
        <w:tblStyle w:val="2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9"/>
        <w:gridCol w:w="760"/>
        <w:gridCol w:w="759"/>
        <w:gridCol w:w="756"/>
        <w:gridCol w:w="703"/>
        <w:gridCol w:w="706"/>
        <w:gridCol w:w="704"/>
        <w:gridCol w:w="704"/>
        <w:gridCol w:w="709"/>
        <w:gridCol w:w="704"/>
        <w:gridCol w:w="730"/>
        <w:gridCol w:w="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875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r>
              <w:rPr>
                <w:rFonts w:hint="eastAsia" w:ascii="宋体" w:hAnsi="宋体" w:eastAsia="宋体" w:cs="宋体"/>
                <w:b/>
                <w:bCs/>
                <w:i w:val="0"/>
                <w:iCs w:val="0"/>
                <w:color w:val="000000"/>
                <w:kern w:val="0"/>
                <w:sz w:val="40"/>
                <w:szCs w:val="40"/>
                <w:u w:val="none"/>
                <w:lang w:val="en-US" w:eastAsia="zh-CN" w:bidi="ar"/>
              </w:rPr>
              <w:t>项目支出绩效自评表</w:t>
            </w:r>
          </w:p>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238"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中职学生资助项目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29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内蒙古自治区卫生健康委员会部门</w:t>
            </w:r>
          </w:p>
        </w:tc>
        <w:tc>
          <w:tcPr>
            <w:tcW w:w="1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9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内蒙古自治区人民医院附属卫校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128.35</w:t>
            </w:r>
          </w:p>
        </w:tc>
        <w:tc>
          <w:tcPr>
            <w:tcW w:w="1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128.35</w:t>
            </w:r>
          </w:p>
        </w:tc>
        <w:tc>
          <w:tcPr>
            <w:tcW w:w="1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108.79</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84.76</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128.35</w:t>
            </w:r>
          </w:p>
        </w:tc>
        <w:tc>
          <w:tcPr>
            <w:tcW w:w="1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128.35</w:t>
            </w:r>
          </w:p>
        </w:tc>
        <w:tc>
          <w:tcPr>
            <w:tcW w:w="1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108.79</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84.76</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362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5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2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关于对中等职业学校学生奖学金及其他生活补助。</w:t>
            </w:r>
          </w:p>
        </w:tc>
        <w:tc>
          <w:tcPr>
            <w:tcW w:w="36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预期目标已完成84.76%。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7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7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培养学生数量</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召开会议次数</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学生毕业率</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百分比</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物业管理合格率</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百分比</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月</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经费发放及时率</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百分比</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项目使用经费</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费用支出</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75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为社会输送医护人员</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持续为社会输送医疗人才</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75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学生满意度</w:t>
            </w:r>
          </w:p>
        </w:tc>
        <w:tc>
          <w:tcPr>
            <w:tcW w:w="7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百分比</w:t>
            </w:r>
          </w:p>
        </w:tc>
        <w:tc>
          <w:tcPr>
            <w:tcW w:w="7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5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98.48</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2.中央中职学生资助项目自评综述： 根据年初设定的绩效目标，项目自评得分99.17分。全年预算数为48.76万元，执行数为44.71万元，完成预算的91.69%。项目绩效目标完成情况： 经过2023年一年的辛苦工作，我们基本完成了项目相 关任务。该项目经费主要用于护理学生的培养培训，为社会输送一批高质量护理人员提供保证。发现的主要问题及原因：实施、资金管理使用存在问题。下一步改进措施：在今后专项经费执行工作中，不断改进工作方式，增强预算编制的科学性、现实性、可行性 和准确性。编制年初预算要根据自身职能目标拟定，参考上年度预算执行情况、相关支出绩效评价结果和本年度的 收支预测，按照规定程序多方征求意见。项目申报前期要 进行充分的调查研究，严格论证项目实施的充分性和必要 性，合理测算所需资金的多少，必须有足够的测算依据， 准确评估资金投入使用的效益，提高预算编制的科学性。预算编制要实事求是，切实可行，要尽可能完整，要细化到项目及具体的事项 。预算一经确定，应严格按预算执行，减少预算调整。</w:t>
      </w:r>
    </w:p>
    <w:tbl>
      <w:tblPr>
        <w:tblStyle w:val="2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3"/>
        <w:gridCol w:w="764"/>
        <w:gridCol w:w="764"/>
        <w:gridCol w:w="708"/>
        <w:gridCol w:w="708"/>
        <w:gridCol w:w="711"/>
        <w:gridCol w:w="709"/>
        <w:gridCol w:w="708"/>
        <w:gridCol w:w="713"/>
        <w:gridCol w:w="708"/>
        <w:gridCol w:w="734"/>
        <w:gridCol w:w="7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75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r>
              <w:rPr>
                <w:rFonts w:hint="eastAsia" w:ascii="宋体" w:hAnsi="宋体" w:eastAsia="宋体" w:cs="宋体"/>
                <w:b/>
                <w:bCs/>
                <w:i w:val="0"/>
                <w:iCs w:val="0"/>
                <w:color w:val="000000"/>
                <w:kern w:val="0"/>
                <w:sz w:val="40"/>
                <w:szCs w:val="40"/>
                <w:u w:val="none"/>
                <w:lang w:val="en-US" w:eastAsia="zh-CN" w:bidi="ar"/>
              </w:rPr>
              <w:t>项目支出绩效自评表</w:t>
            </w:r>
          </w:p>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23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中央中职学生资助项目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28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内蒙古自治区卫生健康委员会部门</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9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内蒙古自治区人民医院附属卫校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4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48.76</w:t>
            </w:r>
          </w:p>
        </w:tc>
        <w:tc>
          <w:tcPr>
            <w:tcW w:w="14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48.76</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44.71</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91.69</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48.76</w:t>
            </w:r>
          </w:p>
        </w:tc>
        <w:tc>
          <w:tcPr>
            <w:tcW w:w="14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48.76</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44.71</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91.69</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36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6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5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中职学生资助项目                          </w:t>
            </w:r>
          </w:p>
        </w:tc>
        <w:tc>
          <w:tcPr>
            <w:tcW w:w="36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预期目标已完成91.69%。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6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7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7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中职学生资助项目</w:t>
            </w: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1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69万元</w:t>
            </w: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71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73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76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6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7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中职学生资助项目</w:t>
            </w: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1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学生受益</w:t>
            </w: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1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3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6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6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7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学生满意</w:t>
            </w: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1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特别满意</w:t>
            </w: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1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3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54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99.17</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keepNext w:val="0"/>
        <w:keepLines w:val="0"/>
        <w:pageBreakBefore w:val="0"/>
        <w:widowControl/>
        <w:kinsoku/>
        <w:wordWrap/>
        <w:overflowPunct/>
        <w:topLinePunct w:val="0"/>
        <w:autoSpaceDE/>
        <w:autoSpaceDN/>
        <w:bidi w:val="0"/>
        <w:adjustRightInd/>
        <w:snapToGrid/>
        <w:spacing w:before="240" w:after="240" w:line="560" w:lineRule="exact"/>
        <w:ind w:firstLine="320" w:firstLineChars="100"/>
        <w:jc w:val="both"/>
        <w:textAlignment w:val="auto"/>
        <w:rPr>
          <w:rFonts w:hint="eastAsia" w:ascii="黑体" w:hAnsi="黑体" w:eastAsia="黑体" w:cs="黑体"/>
          <w:b w:val="0"/>
          <w:bCs w:val="0"/>
          <w:kern w:val="0"/>
          <w:sz w:val="32"/>
          <w:szCs w:val="32"/>
          <w:highlight w:val="none"/>
          <w:lang w:val="en-US" w:eastAsia="zh-CN"/>
        </w:rPr>
      </w:pPr>
      <w:r>
        <w:rPr>
          <w:rFonts w:hint="eastAsia" w:ascii="黑体" w:hAnsi="黑体" w:eastAsia="黑体" w:cs="黑体"/>
          <w:b w:val="0"/>
          <w:bCs w:val="0"/>
          <w:kern w:val="0"/>
          <w:sz w:val="32"/>
          <w:szCs w:val="32"/>
          <w:highlight w:val="none"/>
          <w:lang w:val="en-US" w:eastAsia="zh-CN"/>
        </w:rPr>
        <w:t>（三）部门项目绩效评价结果。</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default" w:ascii="Times New Roman" w:hAnsi="Times New Roman" w:eastAsia="Times New Roman" w:cs="Times New Roman"/>
          <w:kern w:val="0"/>
          <w:sz w:val="24"/>
          <w:lang w:val="en-US"/>
        </w:rPr>
      </w:pPr>
      <w:r>
        <w:rPr>
          <w:rFonts w:hint="eastAsia" w:ascii="仿宋" w:hAnsi="仿宋" w:eastAsia="仿宋" w:cs="仿宋"/>
          <w:kern w:val="2"/>
          <w:sz w:val="32"/>
          <w:szCs w:val="32"/>
          <w:highlight w:val="none"/>
          <w:lang w:val="en-US" w:eastAsia="zh-CN"/>
        </w:rPr>
        <w:t>我校未开展部门项目绩效评价。</w:t>
      </w:r>
    </w:p>
    <w:p>
      <w:pPr>
        <w:pStyle w:val="5"/>
        <w:keepNext w:val="0"/>
        <w:keepLines w:val="0"/>
        <w:pageBreakBefore w:val="0"/>
        <w:widowControl/>
        <w:kinsoku/>
        <w:wordWrap/>
        <w:overflowPunct/>
        <w:topLinePunct w:val="0"/>
        <w:autoSpaceDE/>
        <w:autoSpaceDN/>
        <w:bidi w:val="0"/>
        <w:adjustRightInd/>
        <w:snapToGrid/>
        <w:spacing w:before="299" w:after="299" w:line="560" w:lineRule="exact"/>
        <w:jc w:val="center"/>
        <w:textAlignment w:val="auto"/>
        <w:rPr>
          <w:rFonts w:hint="eastAsia" w:ascii="黑体" w:hAnsi="黑体" w:eastAsia="黑体" w:cs="黑体"/>
          <w:b/>
          <w:bCs/>
          <w:kern w:val="0"/>
          <w:sz w:val="36"/>
          <w:szCs w:val="36"/>
        </w:rPr>
      </w:pPr>
      <w:r>
        <w:rPr>
          <w:rFonts w:hint="eastAsia" w:ascii="黑体" w:hAnsi="黑体" w:eastAsia="黑体" w:cs="黑体"/>
          <w:kern w:val="0"/>
          <w:sz w:val="36"/>
          <w:szCs w:val="36"/>
        </w:rPr>
        <w:t>第三部分  名词解释</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ascii="fang_song_gb2312" w:hAnsi="fang_song_gb2312" w:eastAsia="fang_song_gb2312" w:cs="fang_song_gb2312"/>
          <w:b/>
          <w:bCs/>
          <w:kern w:val="0"/>
          <w:sz w:val="27"/>
          <w:szCs w:val="27"/>
        </w:rPr>
        <w:t>   </w:t>
      </w:r>
      <w:r>
        <w:rPr>
          <w:rFonts w:hint="eastAsia" w:ascii="黑体" w:hAnsi="黑体" w:eastAsia="黑体" w:cs="黑体"/>
          <w:b w:val="0"/>
          <w:bCs w:val="0"/>
          <w:kern w:val="0"/>
          <w:sz w:val="32"/>
          <w:szCs w:val="32"/>
          <w:highlight w:val="none"/>
          <w:lang w:eastAsia="zh-CN"/>
        </w:rPr>
        <w:t xml:space="preserve"> </w:t>
      </w:r>
      <w:r>
        <w:rPr>
          <w:rFonts w:hint="eastAsia" w:ascii="黑体" w:hAnsi="黑体" w:eastAsia="黑体" w:cs="黑体"/>
          <w:b w:val="0"/>
          <w:bCs w:val="0"/>
          <w:kern w:val="0"/>
          <w:sz w:val="32"/>
          <w:szCs w:val="32"/>
          <w:highlight w:val="none"/>
          <w:lang w:val="en-US" w:eastAsia="zh-CN"/>
        </w:rPr>
        <w:t>一、财政拨款收入</w:t>
      </w:r>
      <w:r>
        <w:rPr>
          <w:rFonts w:hint="eastAsia" w:ascii="仿宋" w:hAnsi="仿宋" w:eastAsia="仿宋" w:cs="仿宋"/>
          <w:kern w:val="2"/>
          <w:sz w:val="32"/>
          <w:szCs w:val="32"/>
          <w:highlight w:val="none"/>
          <w:lang w:val="en-US" w:eastAsia="zh-CN"/>
        </w:rPr>
        <w:t>：从同级财政部门取得的各类财政拨款，包括一般公共预算财政拨款、政府性基金预算财政拨款、国有资本经营预算财政拨款。</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w:t>
      </w:r>
      <w:r>
        <w:rPr>
          <w:rFonts w:hint="eastAsia" w:ascii="黑体" w:hAnsi="黑体" w:eastAsia="黑体" w:cs="黑体"/>
          <w:b w:val="0"/>
          <w:bCs w:val="0"/>
          <w:kern w:val="0"/>
          <w:sz w:val="32"/>
          <w:szCs w:val="32"/>
          <w:highlight w:val="none"/>
          <w:lang w:val="en-US" w:eastAsia="zh-CN"/>
        </w:rPr>
        <w:t xml:space="preserve">   二、上级补助收入：</w:t>
      </w:r>
      <w:r>
        <w:rPr>
          <w:rFonts w:hint="eastAsia" w:ascii="仿宋" w:hAnsi="仿宋" w:eastAsia="仿宋" w:cs="仿宋"/>
          <w:kern w:val="2"/>
          <w:sz w:val="32"/>
          <w:szCs w:val="32"/>
          <w:highlight w:val="none"/>
          <w:lang w:val="en-US" w:eastAsia="zh-CN"/>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三、财政专户管理教育收费</w:t>
      </w:r>
      <w:r>
        <w:rPr>
          <w:rFonts w:hint="eastAsia" w:ascii="仿宋" w:hAnsi="仿宋" w:eastAsia="仿宋" w:cs="仿宋"/>
          <w:kern w:val="2"/>
          <w:sz w:val="32"/>
          <w:szCs w:val="32"/>
          <w:highlight w:val="none"/>
          <w:lang w:val="en-US" w:eastAsia="zh-CN"/>
        </w:rPr>
        <w:t>：指缴入财政专户、实行专项管理的高中以上学费、住宿费、高校委托培养费、函大、电大、夜大及短训班培训费等教育收费。</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四、事业收入</w:t>
      </w:r>
      <w:r>
        <w:rPr>
          <w:rFonts w:hint="eastAsia" w:ascii="仿宋" w:hAnsi="仿宋" w:eastAsia="仿宋" w:cs="仿宋"/>
          <w:kern w:val="2"/>
          <w:sz w:val="32"/>
          <w:szCs w:val="32"/>
          <w:highlight w:val="none"/>
          <w:lang w:val="en-US" w:eastAsia="zh-CN"/>
        </w:rPr>
        <w:t>：指事业单位开展专业业务活动及其辅助活动取得的收入。</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497"/>
        <w:jc w:val="left"/>
        <w:textAlignment w:val="auto"/>
        <w:rPr>
          <w:rFonts w:hint="eastAsia" w:ascii="仿宋" w:hAnsi="仿宋" w:eastAsia="仿宋" w:cs="仿宋"/>
          <w:kern w:val="2"/>
          <w:sz w:val="32"/>
          <w:szCs w:val="32"/>
          <w:highlight w:val="none"/>
          <w:lang w:val="en-US" w:eastAsia="zh-CN"/>
        </w:rPr>
      </w:pPr>
      <w:r>
        <w:rPr>
          <w:rFonts w:hint="eastAsia" w:ascii="黑体" w:hAnsi="黑体" w:eastAsia="黑体" w:cs="黑体"/>
          <w:b w:val="0"/>
          <w:bCs w:val="0"/>
          <w:kern w:val="0"/>
          <w:sz w:val="32"/>
          <w:szCs w:val="32"/>
          <w:highlight w:val="none"/>
          <w:lang w:val="en-US" w:eastAsia="zh-CN"/>
        </w:rPr>
        <w:t>五、经营收入</w:t>
      </w:r>
      <w:r>
        <w:rPr>
          <w:rFonts w:hint="eastAsia" w:ascii="仿宋" w:hAnsi="仿宋" w:eastAsia="仿宋" w:cs="仿宋"/>
          <w:kern w:val="2"/>
          <w:sz w:val="32"/>
          <w:szCs w:val="32"/>
          <w:highlight w:val="none"/>
          <w:lang w:val="en-US" w:eastAsia="zh-CN"/>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黑体" w:hAnsi="黑体" w:eastAsia="黑体" w:cs="黑体"/>
          <w:b w:val="0"/>
          <w:bCs w:val="0"/>
          <w:kern w:val="0"/>
          <w:sz w:val="32"/>
          <w:szCs w:val="32"/>
          <w:highlight w:val="none"/>
          <w:lang w:val="en-US" w:eastAsia="zh-CN"/>
        </w:rPr>
        <w:t>六、附属单位上缴收入</w:t>
      </w:r>
      <w:r>
        <w:rPr>
          <w:rFonts w:hint="eastAsia" w:ascii="仿宋" w:hAnsi="仿宋" w:eastAsia="仿宋" w:cs="仿宋"/>
          <w:kern w:val="2"/>
          <w:sz w:val="32"/>
          <w:szCs w:val="32"/>
          <w:highlight w:val="none"/>
          <w:lang w:val="en-US" w:eastAsia="zh-CN"/>
        </w:rPr>
        <w:t>：指事业单位取得附属独立核算单位按照有关规定上缴的收入。</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七、其他收入</w:t>
      </w:r>
      <w:r>
        <w:rPr>
          <w:rFonts w:hint="eastAsia" w:ascii="仿宋" w:hAnsi="仿宋" w:eastAsia="仿宋" w:cs="仿宋"/>
          <w:kern w:val="2"/>
          <w:sz w:val="32"/>
          <w:szCs w:val="32"/>
          <w:highlight w:val="none"/>
          <w:lang w:val="en-US" w:eastAsia="zh-CN"/>
        </w:rPr>
        <w:t>：取得的除上述“财政拨款收入”、“上级补助收入”、“事业收入”、“经营收入”、“附属单位上缴收入”等以外的各项收入。</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八、使用非财政拨款结余和专用结余</w:t>
      </w:r>
      <w:r>
        <w:rPr>
          <w:rFonts w:hint="eastAsia" w:ascii="仿宋" w:hAnsi="仿宋" w:eastAsia="仿宋" w:cs="仿宋"/>
          <w:kern w:val="2"/>
          <w:sz w:val="32"/>
          <w:szCs w:val="32"/>
          <w:highlight w:val="none"/>
          <w:lang w:val="en-US" w:eastAsia="zh-CN"/>
        </w:rPr>
        <w:t>：指事业单位按照预算管理要求使用非财政拨款结余和专用结余弥补当年收支差额的数额。</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九、年初结转和结余</w:t>
      </w:r>
      <w:r>
        <w:rPr>
          <w:rFonts w:hint="eastAsia" w:ascii="仿宋" w:hAnsi="仿宋" w:eastAsia="仿宋" w:cs="仿宋"/>
          <w:kern w:val="2"/>
          <w:sz w:val="32"/>
          <w:szCs w:val="32"/>
          <w:highlight w:val="none"/>
          <w:lang w:val="en-US" w:eastAsia="zh-CN"/>
        </w:rPr>
        <w:t>：指单位上年结转本年使用的基本支出结转、项目支出结转和结余、经营结余。</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十、结余分配</w:t>
      </w:r>
      <w:r>
        <w:rPr>
          <w:rFonts w:hint="eastAsia" w:ascii="仿宋" w:hAnsi="仿宋" w:eastAsia="仿宋" w:cs="仿宋"/>
          <w:kern w:val="2"/>
          <w:sz w:val="32"/>
          <w:szCs w:val="32"/>
          <w:highlight w:val="none"/>
          <w:lang w:val="en-US" w:eastAsia="zh-CN"/>
        </w:rPr>
        <w:t>：指事业单位按规定缴纳企业所得税以及从非财政拨款结余或经营结余中提取各类结余的情况。</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十一、年末结转和结余资金</w:t>
      </w:r>
      <w:r>
        <w:rPr>
          <w:rFonts w:hint="eastAsia" w:ascii="仿宋" w:hAnsi="仿宋" w:eastAsia="仿宋" w:cs="仿宋"/>
          <w:kern w:val="2"/>
          <w:sz w:val="32"/>
          <w:szCs w:val="32"/>
          <w:highlight w:val="none"/>
          <w:lang w:val="en-US" w:eastAsia="zh-CN"/>
        </w:rPr>
        <w:t>：指单位结转下年的基本支出结转、项目支出结转和结余、经营结余。</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十二、基本支出</w:t>
      </w:r>
      <w:r>
        <w:rPr>
          <w:rFonts w:hint="eastAsia" w:ascii="仿宋" w:hAnsi="仿宋" w:eastAsia="仿宋" w:cs="仿宋"/>
          <w:kern w:val="2"/>
          <w:sz w:val="32"/>
          <w:szCs w:val="32"/>
          <w:highlight w:val="none"/>
          <w:lang w:val="en-US" w:eastAsia="zh-CN"/>
        </w:rPr>
        <w:t>：指为保障机构正常运转、完成日常工作任务所发生的支出，包括人员经费和公用经费。</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十三、项目支出</w:t>
      </w:r>
      <w:r>
        <w:rPr>
          <w:rFonts w:hint="eastAsia" w:ascii="仿宋" w:hAnsi="仿宋" w:eastAsia="仿宋" w:cs="仿宋"/>
          <w:kern w:val="2"/>
          <w:sz w:val="32"/>
          <w:szCs w:val="32"/>
          <w:highlight w:val="none"/>
          <w:lang w:val="en-US" w:eastAsia="zh-CN"/>
        </w:rPr>
        <w:t>：指在为完成特定的工作任务和事业发展目标所发生的支出。</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十四、上缴上级支出</w:t>
      </w:r>
      <w:r>
        <w:rPr>
          <w:rFonts w:hint="eastAsia" w:ascii="仿宋" w:hAnsi="仿宋" w:eastAsia="仿宋" w:cs="仿宋"/>
          <w:kern w:val="2"/>
          <w:sz w:val="32"/>
          <w:szCs w:val="32"/>
          <w:highlight w:val="none"/>
          <w:lang w:val="en-US" w:eastAsia="zh-CN"/>
        </w:rPr>
        <w:t>：指事业单位按照财政部门和主管部门的规定上缴上级单位的支出。</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十五、经营支出</w:t>
      </w:r>
      <w:r>
        <w:rPr>
          <w:rFonts w:hint="eastAsia" w:ascii="仿宋" w:hAnsi="仿宋" w:eastAsia="仿宋" w:cs="仿宋"/>
          <w:kern w:val="2"/>
          <w:sz w:val="32"/>
          <w:szCs w:val="32"/>
          <w:highlight w:val="none"/>
          <w:lang w:val="en-US" w:eastAsia="zh-CN"/>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十六、对附属单位补助支出</w:t>
      </w:r>
      <w:r>
        <w:rPr>
          <w:rFonts w:hint="eastAsia" w:ascii="仿宋" w:hAnsi="仿宋" w:eastAsia="仿宋" w:cs="仿宋"/>
          <w:kern w:val="2"/>
          <w:sz w:val="32"/>
          <w:szCs w:val="32"/>
          <w:highlight w:val="none"/>
          <w:lang w:val="en-US" w:eastAsia="zh-CN"/>
        </w:rPr>
        <w:t>：指事业单位用财政拨款收入之外的收入对附属单位补助发生的支出。</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十七、“三公”经费</w:t>
      </w:r>
      <w:r>
        <w:rPr>
          <w:rFonts w:hint="eastAsia" w:ascii="仿宋" w:hAnsi="仿宋" w:eastAsia="仿宋" w:cs="仿宋"/>
          <w:kern w:val="2"/>
          <w:sz w:val="32"/>
          <w:szCs w:val="32"/>
          <w:highlight w:val="none"/>
          <w:lang w:val="en-US" w:eastAsia="zh-CN"/>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ascii="Times New Roman" w:hAnsi="Times New Roman" w:eastAsia="Times New Roman" w:cs="Times New Roman"/>
          <w:kern w:val="0"/>
          <w:sz w:val="24"/>
        </w:rPr>
      </w:pPr>
      <w:r>
        <w:rPr>
          <w:rFonts w:hint="eastAsia" w:ascii="仿宋" w:hAnsi="仿宋" w:eastAsia="仿宋" w:cs="仿宋"/>
          <w:kern w:val="2"/>
          <w:sz w:val="32"/>
          <w:szCs w:val="32"/>
          <w:highlight w:val="none"/>
          <w:lang w:val="en-US" w:eastAsia="zh-CN"/>
        </w:rPr>
        <w:t xml:space="preserve">    </w:t>
      </w:r>
      <w:r>
        <w:rPr>
          <w:rFonts w:hint="eastAsia" w:ascii="黑体" w:hAnsi="黑体" w:eastAsia="黑体" w:cs="黑体"/>
          <w:b w:val="0"/>
          <w:bCs w:val="0"/>
          <w:kern w:val="0"/>
          <w:sz w:val="32"/>
          <w:szCs w:val="32"/>
          <w:highlight w:val="none"/>
          <w:lang w:val="en-US" w:eastAsia="zh-CN"/>
        </w:rPr>
        <w:t>十八、机构运行经费</w:t>
      </w:r>
      <w:r>
        <w:rPr>
          <w:rFonts w:hint="eastAsia" w:ascii="仿宋" w:hAnsi="仿宋" w:eastAsia="仿宋" w:cs="仿宋"/>
          <w:kern w:val="2"/>
          <w:sz w:val="32"/>
          <w:szCs w:val="32"/>
          <w:highlight w:val="none"/>
          <w:lang w:val="en-US" w:eastAsia="zh-CN"/>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5"/>
        <w:keepNext w:val="0"/>
        <w:keepLines w:val="0"/>
        <w:pageBreakBefore w:val="0"/>
        <w:widowControl/>
        <w:kinsoku/>
        <w:wordWrap/>
        <w:overflowPunct/>
        <w:topLinePunct w:val="0"/>
        <w:autoSpaceDE/>
        <w:autoSpaceDN/>
        <w:bidi w:val="0"/>
        <w:adjustRightInd/>
        <w:snapToGrid/>
        <w:spacing w:before="299" w:after="299" w:line="560" w:lineRule="exact"/>
        <w:jc w:val="center"/>
        <w:textAlignment w:val="auto"/>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 xml:space="preserve"> </w:t>
      </w:r>
      <w:r>
        <w:rPr>
          <w:rFonts w:hint="eastAsia" w:ascii="仿宋" w:hAnsi="仿宋" w:eastAsia="仿宋" w:cs="仿宋"/>
          <w:kern w:val="2"/>
          <w:sz w:val="32"/>
          <w:szCs w:val="32"/>
          <w:highlight w:val="none"/>
          <w:lang w:val="en-US" w:eastAsia="zh-CN"/>
        </w:rPr>
        <w:t>本单位决算公开信息反馈和联系方式：</w:t>
      </w:r>
    </w:p>
    <w:p>
      <w:pPr>
        <w:keepNext w:val="0"/>
        <w:keepLines w:val="0"/>
        <w:pageBreakBefore w:val="0"/>
        <w:widowControl/>
        <w:kinsoku/>
        <w:wordWrap/>
        <w:overflowPunct/>
        <w:topLinePunct w:val="0"/>
        <w:autoSpaceDE/>
        <w:autoSpaceDN/>
        <w:bidi w:val="0"/>
        <w:adjustRightInd/>
        <w:snapToGrid/>
        <w:spacing w:before="240" w:after="240" w:line="560" w:lineRule="exact"/>
        <w:ind w:firstLine="640" w:firstLineChars="200"/>
        <w:textAlignment w:val="auto"/>
        <w:rPr>
          <w:rFonts w:hint="eastAsia" w:ascii="仿宋" w:hAnsi="仿宋" w:eastAsia="仿宋" w:cs="仿宋"/>
          <w:kern w:val="2"/>
          <w:sz w:val="32"/>
          <w:szCs w:val="32"/>
          <w:highlight w:val="none"/>
          <w:lang w:val="en-US" w:eastAsia="zh-CN"/>
        </w:rPr>
      </w:pPr>
      <w:r>
        <w:rPr>
          <w:rFonts w:hint="eastAsia" w:ascii="仿宋" w:hAnsi="仿宋" w:eastAsia="仿宋" w:cs="仿宋"/>
          <w:kern w:val="2"/>
          <w:sz w:val="32"/>
          <w:szCs w:val="32"/>
          <w:highlight w:val="none"/>
          <w:lang w:val="en-US" w:eastAsia="zh-CN"/>
        </w:rPr>
        <w:t>联系人：王昕阳           联系电话：0471-6620609</w:t>
      </w:r>
    </w:p>
    <w:p>
      <w:pPr>
        <w:keepNext w:val="0"/>
        <w:keepLines w:val="0"/>
        <w:pageBreakBefore w:val="0"/>
        <w:widowControl/>
        <w:kinsoku/>
        <w:wordWrap/>
        <w:overflowPunct/>
        <w:topLinePunct w:val="0"/>
        <w:autoSpaceDE/>
        <w:autoSpaceDN/>
        <w:bidi w:val="0"/>
        <w:adjustRightInd/>
        <w:snapToGrid/>
        <w:spacing w:before="240" w:after="240" w:line="560" w:lineRule="exact"/>
        <w:ind w:firstLine="497"/>
        <w:jc w:val="center"/>
        <w:textAlignment w:val="auto"/>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lang w:val="en-US" w:eastAsia="zh-CN" w:bidi="ar-SA"/>
        </w:rPr>
        <w:t>第五部分 单位决算表</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 w:hAnsi="仿宋" w:eastAsia="仿宋" w:cs="仿宋"/>
          <w:kern w:val="2"/>
          <w:sz w:val="32"/>
          <w:szCs w:val="32"/>
          <w:highlight w:val="none"/>
          <w:lang w:val="en-US" w:eastAsia="zh-CN"/>
        </w:rPr>
      </w:pPr>
      <w:r>
        <w:rPr>
          <w:rFonts w:ascii="fang_song_gb2312" w:hAnsi="fang_song_gb2312" w:eastAsia="fang_song_gb2312" w:cs="fang_song_gb2312"/>
          <w:kern w:val="0"/>
          <w:sz w:val="27"/>
          <w:szCs w:val="27"/>
        </w:rPr>
        <w:t>   </w:t>
      </w:r>
      <w:r>
        <w:rPr>
          <w:rFonts w:hint="eastAsia" w:ascii="fang_song_gb2312" w:hAnsi="fang_song_gb2312" w:cs="fang_song_gb2312"/>
          <w:kern w:val="0"/>
          <w:sz w:val="27"/>
          <w:szCs w:val="27"/>
          <w:lang w:val="en-US" w:eastAsia="zh-CN"/>
        </w:rPr>
        <w:t xml:space="preserve"> </w:t>
      </w:r>
      <w:r>
        <w:rPr>
          <w:rFonts w:ascii="fang_song_gb2312" w:hAnsi="fang_song_gb2312" w:eastAsia="fang_song_gb2312" w:cs="fang_song_gb2312"/>
          <w:kern w:val="0"/>
          <w:sz w:val="27"/>
          <w:szCs w:val="27"/>
        </w:rPr>
        <w:t xml:space="preserve"> </w:t>
      </w:r>
      <w:r>
        <w:rPr>
          <w:rFonts w:hint="eastAsia" w:ascii="仿宋" w:hAnsi="仿宋" w:eastAsia="仿宋" w:cs="仿宋"/>
          <w:kern w:val="2"/>
          <w:sz w:val="32"/>
          <w:szCs w:val="32"/>
          <w:highlight w:val="none"/>
          <w:lang w:val="en-US" w:eastAsia="zh-CN"/>
        </w:rPr>
        <w:t>见附件。</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pStyle w:val="2"/>
        <w:widowControl w:val="0"/>
        <w:numPr>
          <w:ilvl w:val="0"/>
          <w:numId w:val="0"/>
        </w:numPr>
        <w:spacing w:after="0"/>
        <w:ind w:firstLine="497"/>
        <w:jc w:val="left"/>
        <w:rPr>
          <w:rFonts w:hint="eastAsia" w:ascii="仿宋" w:hAnsi="仿宋" w:eastAsia="仿宋" w:cs="仿宋"/>
          <w:kern w:val="2"/>
          <w:sz w:val="32"/>
          <w:szCs w:val="32"/>
          <w:highlight w:val="none"/>
          <w:lang w:val="en-US" w:eastAsia="zh-CN"/>
        </w:rPr>
        <w:sectPr>
          <w:pgSz w:w="11915" w:h="16851"/>
          <w:pgMar w:top="1432" w:right="1687" w:bottom="0" w:left="1687" w:header="0" w:footer="0" w:gutter="0"/>
          <w:cols w:space="720" w:num="1"/>
        </w:sectPr>
      </w:pP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 w:hAnsi="仿宋" w:eastAsia="仿宋" w:cs="仿宋"/>
          <w:kern w:val="2"/>
          <w:sz w:val="32"/>
          <w:szCs w:val="32"/>
          <w:highlight w:val="none"/>
          <w:lang w:val="en-US" w:eastAsia="zh-CN"/>
        </w:rPr>
      </w:pPr>
    </w:p>
    <w:p>
      <w:pPr>
        <w:widowControl/>
        <w:spacing w:before="240" w:after="240"/>
        <w:jc w:val="left"/>
        <w:rPr>
          <w:rFonts w:ascii="Times New Roman" w:hAnsi="Times New Roman" w:eastAsia="Times New Roman" w:cs="Times New Roman"/>
          <w:kern w:val="0"/>
          <w:sz w:val="24"/>
        </w:rPr>
      </w:pPr>
      <w:r>
        <w:rPr>
          <w:rFonts w:hint="eastAsia" w:ascii="仿宋" w:hAnsi="仿宋" w:eastAsia="仿宋" w:cs="仿宋"/>
          <w:kern w:val="2"/>
          <w:sz w:val="32"/>
          <w:szCs w:val="32"/>
          <w:highlight w:val="none"/>
          <w:lang w:val="en-US" w:eastAsia="zh-CN"/>
        </w:rPr>
        <w:t>   </w:t>
      </w:r>
      <w:r>
        <w:rPr>
          <w:rFonts w:hint="eastAsia" w:ascii="黑体" w:hAnsi="黑体" w:eastAsia="黑体" w:cs="黑体"/>
          <w:b w:val="0"/>
          <w:bCs w:val="0"/>
          <w:kern w:val="0"/>
          <w:sz w:val="32"/>
          <w:szCs w:val="32"/>
          <w:highlight w:val="none"/>
          <w:lang w:val="en-US" w:eastAsia="zh-CN"/>
        </w:rPr>
        <w:t xml:space="preserve"> </w:t>
      </w:r>
    </w:p>
    <w:bookmarkEnd w:id="0"/>
    <w:p>
      <w:pPr>
        <w:adjustRightInd w:val="0"/>
        <w:snapToGrid w:val="0"/>
        <w:rPr>
          <w:rFonts w:ascii="宋体" w:hAnsi="宋体"/>
          <w:b/>
          <w:sz w:val="32"/>
          <w:szCs w:val="32"/>
        </w:rPr>
      </w:pPr>
    </w:p>
    <w:p>
      <w:pPr>
        <w:adjustRightInd w:val="0"/>
        <w:snapToGrid w:val="0"/>
        <w:rPr>
          <w:rFonts w:ascii="宋体" w:hAnsi="宋体"/>
          <w:b/>
          <w:sz w:val="32"/>
          <w:szCs w:val="32"/>
        </w:rPr>
      </w:pPr>
    </w:p>
    <w:p>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23</w:t>
    </w:r>
    <w:r>
      <w:rPr>
        <w:lang w:val="zh-CN"/>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E92886"/>
    <w:rsid w:val="06E30704"/>
    <w:rsid w:val="11B6584C"/>
    <w:rsid w:val="11BB3DCF"/>
    <w:rsid w:val="4B8B4CF5"/>
    <w:rsid w:val="4E0562F5"/>
    <w:rsid w:val="5F4540A3"/>
    <w:rsid w:val="6245226B"/>
    <w:rsid w:val="671F66A1"/>
    <w:rsid w:val="685063E2"/>
    <w:rsid w:val="6AC8140B"/>
    <w:rsid w:val="795B3837"/>
    <w:rsid w:val="7F553F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29"/>
    <w:qFormat/>
    <w:uiPriority w:val="0"/>
    <w:pPr>
      <w:keepNext/>
      <w:keepLines/>
      <w:spacing w:before="260" w:after="260" w:line="416" w:lineRule="auto"/>
      <w:outlineLvl w:val="2"/>
    </w:pPr>
    <w:rPr>
      <w:b/>
      <w:bCs/>
      <w:sz w:val="32"/>
      <w:szCs w:val="32"/>
    </w:rPr>
  </w:style>
  <w:style w:type="paragraph" w:styleId="7">
    <w:name w:val="heading 4"/>
    <w:basedOn w:val="1"/>
    <w:next w:val="1"/>
    <w:link w:val="24"/>
    <w:qFormat/>
    <w:uiPriority w:val="0"/>
    <w:pPr>
      <w:keepNext/>
      <w:keepLines/>
      <w:spacing w:before="280" w:after="290" w:line="376" w:lineRule="auto"/>
      <w:outlineLvl w:val="3"/>
    </w:pPr>
    <w:rPr>
      <w:rFonts w:ascii="Cambria" w:hAnsi="Cambria"/>
      <w:b/>
      <w:bCs/>
      <w:sz w:val="28"/>
      <w:szCs w:val="28"/>
    </w:rPr>
  </w:style>
  <w:style w:type="character" w:default="1" w:styleId="21">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spacing w:after="120"/>
      <w:ind w:left="420" w:leftChars="200"/>
      <w:jc w:val="left"/>
    </w:pPr>
    <w:rPr>
      <w:rFonts w:hint="eastAsia" w:ascii="宋体" w:hAnsi="宋体" w:eastAsia="宋体"/>
      <w:kern w:val="0"/>
      <w:sz w:val="24"/>
      <w:szCs w:val="24"/>
    </w:rPr>
  </w:style>
  <w:style w:type="paragraph" w:styleId="8">
    <w:name w:val="toc 7"/>
    <w:basedOn w:val="1"/>
    <w:next w:val="1"/>
    <w:qFormat/>
    <w:uiPriority w:val="0"/>
    <w:pPr>
      <w:ind w:left="1260"/>
      <w:jc w:val="left"/>
    </w:pPr>
    <w:rPr>
      <w:sz w:val="20"/>
      <w:szCs w:val="20"/>
    </w:rPr>
  </w:style>
  <w:style w:type="paragraph" w:styleId="9">
    <w:name w:val="Document Map"/>
    <w:basedOn w:val="1"/>
    <w:qFormat/>
    <w:uiPriority w:val="0"/>
    <w:pPr>
      <w:shd w:val="clear" w:color="auto" w:fill="000080"/>
    </w:pPr>
  </w:style>
  <w:style w:type="paragraph" w:styleId="10">
    <w:name w:val="toc 5"/>
    <w:basedOn w:val="1"/>
    <w:next w:val="1"/>
    <w:qFormat/>
    <w:uiPriority w:val="0"/>
    <w:pPr>
      <w:ind w:left="840"/>
      <w:jc w:val="left"/>
    </w:pPr>
    <w:rPr>
      <w:sz w:val="20"/>
      <w:szCs w:val="20"/>
    </w:rPr>
  </w:style>
  <w:style w:type="paragraph" w:styleId="11">
    <w:name w:val="toc 3"/>
    <w:basedOn w:val="1"/>
    <w:next w:val="1"/>
    <w:qFormat/>
    <w:uiPriority w:val="0"/>
    <w:pPr>
      <w:adjustRightInd w:val="0"/>
      <w:snapToGrid w:val="0"/>
      <w:spacing w:line="360" w:lineRule="auto"/>
      <w:ind w:firstLine="400" w:firstLineChars="400"/>
      <w:jc w:val="left"/>
    </w:pPr>
    <w:rPr>
      <w:sz w:val="24"/>
      <w:szCs w:val="20"/>
    </w:rPr>
  </w:style>
  <w:style w:type="paragraph" w:styleId="12">
    <w:name w:val="toc 8"/>
    <w:basedOn w:val="1"/>
    <w:next w:val="1"/>
    <w:qFormat/>
    <w:uiPriority w:val="0"/>
    <w:pPr>
      <w:ind w:left="1470"/>
      <w:jc w:val="left"/>
    </w:pPr>
    <w:rPr>
      <w:sz w:val="20"/>
      <w:szCs w:val="20"/>
    </w:rPr>
  </w:style>
  <w:style w:type="paragraph" w:styleId="13">
    <w:name w:val="footer"/>
    <w:basedOn w:val="1"/>
    <w:link w:val="27"/>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adjustRightInd w:val="0"/>
      <w:snapToGrid w:val="0"/>
      <w:spacing w:line="360" w:lineRule="auto"/>
      <w:jc w:val="left"/>
    </w:pPr>
    <w:rPr>
      <w:b/>
      <w:bCs/>
      <w:sz w:val="24"/>
      <w:szCs w:val="20"/>
    </w:rPr>
  </w:style>
  <w:style w:type="paragraph" w:styleId="16">
    <w:name w:val="toc 4"/>
    <w:basedOn w:val="1"/>
    <w:next w:val="1"/>
    <w:qFormat/>
    <w:uiPriority w:val="0"/>
    <w:pPr>
      <w:ind w:left="630"/>
      <w:jc w:val="left"/>
    </w:pPr>
    <w:rPr>
      <w:sz w:val="20"/>
      <w:szCs w:val="20"/>
    </w:rPr>
  </w:style>
  <w:style w:type="paragraph" w:styleId="17">
    <w:name w:val="toc 6"/>
    <w:basedOn w:val="1"/>
    <w:next w:val="1"/>
    <w:qFormat/>
    <w:uiPriority w:val="0"/>
    <w:pPr>
      <w:ind w:left="1050"/>
      <w:jc w:val="left"/>
    </w:pPr>
    <w:rPr>
      <w:sz w:val="20"/>
      <w:szCs w:val="20"/>
    </w:rPr>
  </w:style>
  <w:style w:type="paragraph" w:styleId="18">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9">
    <w:name w:val="toc 9"/>
    <w:basedOn w:val="1"/>
    <w:next w:val="1"/>
    <w:qFormat/>
    <w:uiPriority w:val="0"/>
    <w:pPr>
      <w:ind w:left="1680"/>
      <w:jc w:val="left"/>
    </w:pPr>
    <w:rPr>
      <w:sz w:val="20"/>
      <w:szCs w:val="20"/>
    </w:rPr>
  </w:style>
  <w:style w:type="character" w:styleId="22">
    <w:name w:val="page number"/>
    <w:basedOn w:val="21"/>
    <w:qFormat/>
    <w:uiPriority w:val="0"/>
  </w:style>
  <w:style w:type="character" w:styleId="23">
    <w:name w:val="Hyperlink"/>
    <w:basedOn w:val="21"/>
    <w:qFormat/>
    <w:uiPriority w:val="0"/>
    <w:rPr>
      <w:color w:val="0000FF"/>
      <w:u w:val="single"/>
    </w:rPr>
  </w:style>
  <w:style w:type="character" w:customStyle="1" w:styleId="24">
    <w:name w:val="标题 4 字符"/>
    <w:basedOn w:val="21"/>
    <w:link w:val="7"/>
    <w:qFormat/>
    <w:uiPriority w:val="0"/>
    <w:rPr>
      <w:rFonts w:ascii="Cambria" w:hAnsi="Cambria"/>
      <w:b/>
      <w:bCs/>
      <w:kern w:val="2"/>
      <w:sz w:val="28"/>
      <w:szCs w:val="28"/>
    </w:rPr>
  </w:style>
  <w:style w:type="paragraph" w:customStyle="1" w:styleId="25">
    <w:name w:val="No Spacing"/>
    <w:link w:val="26"/>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6">
    <w:name w:val="无间隔 字符"/>
    <w:link w:val="25"/>
    <w:qFormat/>
    <w:locked/>
    <w:uiPriority w:val="0"/>
    <w:rPr>
      <w:rFonts w:eastAsia="仿宋_GB2312"/>
      <w:sz w:val="30"/>
      <w:szCs w:val="22"/>
      <w:lang w:bidi="ar-SA"/>
    </w:rPr>
  </w:style>
  <w:style w:type="character" w:customStyle="1" w:styleId="27">
    <w:name w:val="页脚 字符"/>
    <w:basedOn w:val="21"/>
    <w:link w:val="13"/>
    <w:qFormat/>
    <w:uiPriority w:val="0"/>
    <w:rPr>
      <w:kern w:val="2"/>
      <w:sz w:val="18"/>
      <w:szCs w:val="18"/>
    </w:rPr>
  </w:style>
  <w:style w:type="paragraph" w:customStyle="1" w:styleId="28">
    <w:name w:val="List Paragraph"/>
    <w:basedOn w:val="1"/>
    <w:qFormat/>
    <w:uiPriority w:val="0"/>
    <w:pPr>
      <w:ind w:firstLine="420" w:firstLineChars="200"/>
    </w:pPr>
  </w:style>
  <w:style w:type="character" w:customStyle="1" w:styleId="29">
    <w:name w:val="标题 3 字符"/>
    <w:basedOn w:val="21"/>
    <w:link w:val="6"/>
    <w:qFormat/>
    <w:uiPriority w:val="0"/>
    <w:rPr>
      <w:b/>
      <w:bCs/>
      <w:kern w:val="2"/>
      <w:sz w:val="32"/>
      <w:szCs w:val="32"/>
    </w:rPr>
  </w:style>
  <w:style w:type="table" w:customStyle="1" w:styleId="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SJ7OUGNYI85DG31\Desktop\2023&#20915;&#31639;&#20844;&#24320;\&#25903;&#20986;&#20915;&#31639;&#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SJ7OUGNYI85DG31\Desktop\2023&#20915;&#31639;&#20844;&#24320;\&#25903;&#20986;&#20915;&#31639;&#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[支出决算表.xlsx]Sheet1!$A$5:$A$6</c:f>
              <c:strCache>
                <c:ptCount val="2"/>
                <c:pt idx="0">
                  <c:v>本年一般公共预算财政拨款收入</c:v>
                </c:pt>
                <c:pt idx="1">
                  <c:v>本年其他收入</c:v>
                </c:pt>
              </c:strCache>
            </c:strRef>
          </c:cat>
          <c:val>
            <c:numRef>
              <c:f>[支出决算表.xlsx]Sheet1!$B$5:$B$6</c:f>
              <c:numCache>
                <c:formatCode>0.00%</c:formatCode>
                <c:ptCount val="2"/>
                <c:pt idx="0">
                  <c:v>0.9997</c:v>
                </c:pt>
                <c:pt idx="1" c:formatCode="General">
                  <c:v>0.03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[支出决算表.xlsx]Sheet1!$A$1:$A$2</c:f>
              <c:strCache>
                <c:ptCount val="2"/>
                <c:pt idx="0">
                  <c:v>本年基本支出</c:v>
                </c:pt>
                <c:pt idx="1">
                  <c:v>本年项目支出</c:v>
                </c:pt>
              </c:strCache>
            </c:strRef>
          </c:cat>
          <c:val>
            <c:numRef>
              <c:f>[支出决算表.xlsx]Sheet1!$B$1:$B$2</c:f>
              <c:numCache>
                <c:formatCode>0.00%</c:formatCode>
                <c:ptCount val="2"/>
                <c:pt idx="0">
                  <c:v>0.6638</c:v>
                </c:pt>
                <c:pt idx="1">
                  <c:v>0.3362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9063</Words>
  <Characters>10083</Characters>
  <Lines>1</Lines>
  <Paragraphs>1</Paragraphs>
  <TotalTime>10</TotalTime>
  <ScaleCrop>false</ScaleCrop>
  <LinksUpToDate>false</LinksUpToDate>
  <CharactersWithSpaces>10725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2022-03-23T20:40:00Z</dcterms:created>
  <dc:creator>Administrator</dc:creator>
  <cp:lastModifiedBy>Ad'min</cp:lastModifiedBy>
  <cp:lastPrinted>2024-09-02T07:56:20Z</cp:lastPrinted>
  <dcterms:modified xsi:type="dcterms:W3CDTF">2024-09-02T08:01:51Z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1B684B3C416744DDBDC72EB5F32EF476_13</vt:lpwstr>
  </property>
</Properties>
</file>