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5770B">
      <w:pPr>
        <w:pStyle w:val="6"/>
        <w:spacing w:line="246" w:lineRule="auto"/>
      </w:pPr>
    </w:p>
    <w:p w14:paraId="63473774">
      <w:pPr>
        <w:pStyle w:val="6"/>
        <w:spacing w:line="246" w:lineRule="auto"/>
      </w:pPr>
    </w:p>
    <w:p w14:paraId="332068DA">
      <w:pPr>
        <w:pStyle w:val="6"/>
        <w:spacing w:line="246" w:lineRule="auto"/>
      </w:pPr>
    </w:p>
    <w:p w14:paraId="0507C7E5">
      <w:pPr>
        <w:pStyle w:val="6"/>
        <w:spacing w:line="246" w:lineRule="auto"/>
      </w:pPr>
    </w:p>
    <w:p w14:paraId="669CD513">
      <w:pPr>
        <w:pStyle w:val="6"/>
        <w:spacing w:line="246" w:lineRule="auto"/>
      </w:pPr>
    </w:p>
    <w:p w14:paraId="6C881A60">
      <w:pPr>
        <w:pStyle w:val="6"/>
        <w:spacing w:line="246" w:lineRule="auto"/>
      </w:pPr>
    </w:p>
    <w:p w14:paraId="6CC2A6E2">
      <w:pPr>
        <w:pStyle w:val="6"/>
        <w:spacing w:line="246" w:lineRule="auto"/>
      </w:pPr>
    </w:p>
    <w:p w14:paraId="2CB826B7">
      <w:pPr>
        <w:pStyle w:val="6"/>
        <w:spacing w:line="247" w:lineRule="auto"/>
      </w:pPr>
    </w:p>
    <w:p w14:paraId="21C800FE">
      <w:pPr>
        <w:pStyle w:val="6"/>
        <w:spacing w:line="247" w:lineRule="auto"/>
      </w:pPr>
    </w:p>
    <w:p w14:paraId="2EB730ED">
      <w:pPr>
        <w:pStyle w:val="6"/>
        <w:spacing w:line="247" w:lineRule="auto"/>
      </w:pPr>
    </w:p>
    <w:p w14:paraId="793E258B">
      <w:pPr>
        <w:pStyle w:val="6"/>
        <w:spacing w:line="247" w:lineRule="auto"/>
      </w:pPr>
    </w:p>
    <w:p w14:paraId="51EDE9C1">
      <w:pPr>
        <w:pStyle w:val="6"/>
        <w:spacing w:line="247" w:lineRule="auto"/>
      </w:pPr>
    </w:p>
    <w:p w14:paraId="68675E1A">
      <w:pPr>
        <w:pStyle w:val="6"/>
        <w:spacing w:line="247" w:lineRule="auto"/>
      </w:pPr>
    </w:p>
    <w:p w14:paraId="4B7B7496">
      <w:pPr>
        <w:pStyle w:val="6"/>
        <w:spacing w:line="247" w:lineRule="auto"/>
      </w:pPr>
    </w:p>
    <w:p w14:paraId="7FDFE4C0">
      <w:pPr>
        <w:pStyle w:val="6"/>
        <w:spacing w:line="247" w:lineRule="auto"/>
      </w:pPr>
    </w:p>
    <w:p w14:paraId="446ECFB6">
      <w:pPr>
        <w:pStyle w:val="6"/>
        <w:spacing w:line="247" w:lineRule="auto"/>
      </w:pPr>
    </w:p>
    <w:p w14:paraId="05D8265E">
      <w:pPr>
        <w:spacing w:before="140" w:line="368" w:lineRule="auto"/>
        <w:ind w:right="1072"/>
        <w:jc w:val="center"/>
        <w:outlineLvl w:val="0"/>
        <w:rPr>
          <w:rFonts w:hint="eastAsia" w:ascii="宋体" w:hAnsi="宋体" w:eastAsia="宋体" w:cs="宋体"/>
          <w:spacing w:val="6"/>
          <w:sz w:val="43"/>
          <w:szCs w:val="43"/>
          <w:lang w:eastAsia="zh-CN"/>
          <w14:textOutline w14:w="7972" w14:cap="sq" w14:cmpd="sng">
            <w14:solidFill>
              <w14:srgbClr w14:val="000000"/>
            </w14:solidFill>
            <w14:prstDash w14:val="solid"/>
            <w14:bevel/>
          </w14:textOutline>
        </w:rPr>
      </w:pPr>
      <w:r>
        <w:rPr>
          <w:rFonts w:ascii="宋体" w:hAnsi="宋体" w:eastAsia="宋体" w:cs="宋体"/>
          <w:spacing w:val="6"/>
          <w:sz w:val="43"/>
          <w:szCs w:val="43"/>
          <w14:textOutline w14:w="7972" w14:cap="sq" w14:cmpd="sng">
            <w14:solidFill>
              <w14:srgbClr w14:val="000000"/>
            </w14:solidFill>
            <w14:prstDash w14:val="solid"/>
            <w14:bevel/>
          </w14:textOutline>
        </w:rPr>
        <w:t>内蒙古自治区</w:t>
      </w:r>
      <w:r>
        <w:rPr>
          <w:rFonts w:hint="eastAsia" w:ascii="宋体" w:hAnsi="宋体" w:eastAsia="宋体" w:cs="宋体"/>
          <w:spacing w:val="6"/>
          <w:sz w:val="43"/>
          <w:szCs w:val="43"/>
          <w:lang w:eastAsia="zh-CN"/>
          <w14:textOutline w14:w="7972" w14:cap="sq" w14:cmpd="sng">
            <w14:solidFill>
              <w14:srgbClr w14:val="000000"/>
            </w14:solidFill>
            <w14:prstDash w14:val="solid"/>
            <w14:bevel/>
          </w14:textOutline>
        </w:rPr>
        <w:t>卫生健康委员会</w:t>
      </w:r>
    </w:p>
    <w:p w14:paraId="16483091">
      <w:pPr>
        <w:spacing w:before="140" w:line="368" w:lineRule="auto"/>
        <w:ind w:right="1072"/>
        <w:jc w:val="center"/>
        <w:outlineLvl w:val="0"/>
        <w:rPr>
          <w:rFonts w:hint="eastAsia" w:ascii="宋体" w:hAnsi="宋体" w:eastAsia="宋体" w:cs="宋体"/>
          <w:spacing w:val="6"/>
          <w:sz w:val="43"/>
          <w:szCs w:val="43"/>
          <w:lang w:eastAsia="zh-CN"/>
          <w14:textOutline w14:w="7972" w14:cap="sq" w14:cmpd="sng">
            <w14:solidFill>
              <w14:srgbClr w14:val="000000"/>
            </w14:solidFill>
            <w14:prstDash w14:val="solid"/>
            <w14:bevel/>
          </w14:textOutline>
        </w:rPr>
      </w:pPr>
      <w:r>
        <w:rPr>
          <w:rFonts w:hint="eastAsia" w:ascii="宋体" w:hAnsi="宋体" w:eastAsia="宋体" w:cs="宋体"/>
          <w:spacing w:val="6"/>
          <w:sz w:val="43"/>
          <w:szCs w:val="43"/>
          <w:lang w:eastAsia="zh-CN"/>
          <w14:textOutline w14:w="7972" w14:cap="sq" w14:cmpd="sng">
            <w14:solidFill>
              <w14:srgbClr w14:val="000000"/>
            </w14:solidFill>
            <w14:prstDash w14:val="solid"/>
            <w14:bevel/>
          </w14:textOutline>
        </w:rPr>
        <w:t>综合保障中心</w:t>
      </w:r>
    </w:p>
    <w:p w14:paraId="2FF4D079">
      <w:pPr>
        <w:spacing w:before="140" w:line="368" w:lineRule="auto"/>
        <w:ind w:right="1072"/>
        <w:jc w:val="center"/>
        <w:outlineLvl w:val="0"/>
        <w:rPr>
          <w:rFonts w:ascii="宋体" w:hAnsi="宋体" w:eastAsia="宋体" w:cs="宋体"/>
          <w:sz w:val="43"/>
          <w:szCs w:val="43"/>
        </w:rPr>
      </w:pPr>
      <w:r>
        <w:rPr>
          <w:rFonts w:ascii="宋体" w:hAnsi="宋体" w:eastAsia="宋体" w:cs="宋体"/>
          <w:spacing w:val="6"/>
          <w:sz w:val="43"/>
          <w:szCs w:val="43"/>
          <w14:textOutline w14:w="7972" w14:cap="sq" w14:cmpd="sng">
            <w14:solidFill>
              <w14:srgbClr w14:val="000000"/>
            </w14:solidFill>
            <w14:prstDash w14:val="solid"/>
            <w14:bevel/>
          </w14:textOutline>
        </w:rPr>
        <w:t>202</w:t>
      </w:r>
      <w:r>
        <w:rPr>
          <w:rFonts w:hint="eastAsia" w:ascii="宋体" w:hAnsi="宋体" w:eastAsia="宋体" w:cs="宋体"/>
          <w:spacing w:val="6"/>
          <w:sz w:val="43"/>
          <w:szCs w:val="43"/>
          <w:lang w:val="en-US" w:eastAsia="zh-CN"/>
          <w14:textOutline w14:w="7972" w14:cap="sq" w14:cmpd="sng">
            <w14:solidFill>
              <w14:srgbClr w14:val="000000"/>
            </w14:solidFill>
            <w14:prstDash w14:val="solid"/>
            <w14:bevel/>
          </w14:textOutline>
        </w:rPr>
        <w:t>5</w:t>
      </w:r>
      <w:r>
        <w:rPr>
          <w:rFonts w:ascii="宋体" w:hAnsi="宋体" w:eastAsia="宋体" w:cs="宋体"/>
          <w:spacing w:val="6"/>
          <w:sz w:val="43"/>
          <w:szCs w:val="43"/>
          <w14:textOutline w14:w="7972" w14:cap="sq" w14:cmpd="sng">
            <w14:solidFill>
              <w14:srgbClr w14:val="000000"/>
            </w14:solidFill>
            <w14:prstDash w14:val="solid"/>
            <w14:bevel/>
          </w14:textOutline>
        </w:rPr>
        <w:t>年</w:t>
      </w:r>
      <w:r>
        <w:rPr>
          <w:rFonts w:hint="eastAsia" w:ascii="宋体" w:hAnsi="宋体" w:eastAsia="宋体" w:cs="宋体"/>
          <w:spacing w:val="6"/>
          <w:sz w:val="43"/>
          <w:szCs w:val="43"/>
          <w:lang w:eastAsia="zh-CN"/>
          <w14:textOutline w14:w="7972" w14:cap="sq" w14:cmpd="sng">
            <w14:solidFill>
              <w14:srgbClr w14:val="000000"/>
            </w14:solidFill>
            <w14:prstDash w14:val="solid"/>
            <w14:bevel/>
          </w14:textOutline>
        </w:rPr>
        <w:t>单位</w:t>
      </w:r>
      <w:r>
        <w:rPr>
          <w:rFonts w:ascii="宋体" w:hAnsi="宋体" w:eastAsia="宋体" w:cs="宋体"/>
          <w:spacing w:val="6"/>
          <w:sz w:val="43"/>
          <w:szCs w:val="43"/>
          <w14:textOutline w14:w="7972" w14:cap="sq" w14:cmpd="sng">
            <w14:solidFill>
              <w14:srgbClr w14:val="000000"/>
            </w14:solidFill>
            <w14:prstDash w14:val="solid"/>
            <w14:bevel/>
          </w14:textOutline>
        </w:rPr>
        <w:t>预算公开报告</w:t>
      </w:r>
    </w:p>
    <w:p w14:paraId="268D307E">
      <w:pPr>
        <w:pStyle w:val="6"/>
        <w:spacing w:line="250" w:lineRule="auto"/>
      </w:pPr>
    </w:p>
    <w:p w14:paraId="6605ADD9">
      <w:pPr>
        <w:pStyle w:val="6"/>
        <w:spacing w:line="250" w:lineRule="auto"/>
      </w:pPr>
    </w:p>
    <w:p w14:paraId="246CD085">
      <w:pPr>
        <w:pStyle w:val="6"/>
        <w:spacing w:line="250" w:lineRule="auto"/>
      </w:pPr>
    </w:p>
    <w:p w14:paraId="030588F8">
      <w:pPr>
        <w:pStyle w:val="6"/>
        <w:spacing w:line="250" w:lineRule="auto"/>
      </w:pPr>
    </w:p>
    <w:p w14:paraId="51B92B4C">
      <w:pPr>
        <w:pStyle w:val="6"/>
        <w:spacing w:line="250" w:lineRule="auto"/>
      </w:pPr>
    </w:p>
    <w:p w14:paraId="131E1DD3">
      <w:pPr>
        <w:pStyle w:val="6"/>
        <w:spacing w:line="250" w:lineRule="auto"/>
      </w:pPr>
    </w:p>
    <w:p w14:paraId="72AD149B">
      <w:pPr>
        <w:pStyle w:val="6"/>
        <w:spacing w:line="250" w:lineRule="auto"/>
      </w:pPr>
    </w:p>
    <w:p w14:paraId="69D82610">
      <w:pPr>
        <w:pStyle w:val="6"/>
        <w:spacing w:line="250" w:lineRule="auto"/>
      </w:pPr>
    </w:p>
    <w:p w14:paraId="72463EC7">
      <w:pPr>
        <w:pStyle w:val="6"/>
        <w:spacing w:line="250" w:lineRule="auto"/>
      </w:pPr>
    </w:p>
    <w:p w14:paraId="41B6F0A8">
      <w:pPr>
        <w:pStyle w:val="6"/>
        <w:spacing w:line="251" w:lineRule="auto"/>
      </w:pPr>
    </w:p>
    <w:p w14:paraId="265CD227">
      <w:pPr>
        <w:pStyle w:val="6"/>
        <w:spacing w:line="251" w:lineRule="auto"/>
      </w:pPr>
    </w:p>
    <w:p w14:paraId="6D876006">
      <w:pPr>
        <w:pStyle w:val="6"/>
        <w:spacing w:line="251" w:lineRule="auto"/>
      </w:pPr>
    </w:p>
    <w:p w14:paraId="2687FA6A">
      <w:pPr>
        <w:pStyle w:val="6"/>
        <w:spacing w:line="251" w:lineRule="auto"/>
      </w:pPr>
    </w:p>
    <w:p w14:paraId="69611BB7">
      <w:pPr>
        <w:pStyle w:val="2"/>
        <w:spacing w:after="0" w:line="600" w:lineRule="exact"/>
        <w:ind w:left="0" w:leftChars="0" w:firstLine="0"/>
        <w:jc w:val="center"/>
        <w:rPr>
          <w:rFonts w:hint="default" w:ascii="黑体" w:hAnsi="黑体" w:eastAsia="黑体" w:cs="黑体"/>
          <w:highlight w:val="none"/>
        </w:rPr>
      </w:pPr>
      <w:r>
        <w:rPr>
          <w:rFonts w:ascii="黑体" w:hAnsi="黑体" w:eastAsia="黑体" w:cs="黑体"/>
          <w:sz w:val="32"/>
          <w:szCs w:val="32"/>
          <w:highlight w:val="none"/>
        </w:rPr>
        <w:t>批复时间：</w:t>
      </w:r>
      <w:r>
        <w:rPr>
          <w:rFonts w:hint="eastAsia" w:ascii="黑体" w:hAnsi="黑体" w:eastAsia="黑体" w:cs="黑体"/>
          <w:sz w:val="32"/>
          <w:szCs w:val="32"/>
          <w:highlight w:val="none"/>
          <w:u w:val="single"/>
          <w:lang w:val="en-US" w:eastAsia="zh-CN"/>
        </w:rPr>
        <w:t>2025</w:t>
      </w:r>
      <w:r>
        <w:rPr>
          <w:rFonts w:ascii="黑体" w:hAnsi="黑体" w:eastAsia="黑体" w:cs="黑体"/>
          <w:sz w:val="32"/>
          <w:szCs w:val="32"/>
          <w:highlight w:val="none"/>
          <w:u w:val="single"/>
        </w:rPr>
        <w:t>年</w:t>
      </w:r>
      <w:r>
        <w:rPr>
          <w:rFonts w:hint="eastAsia" w:ascii="黑体" w:hAnsi="黑体" w:eastAsia="黑体" w:cs="黑体"/>
          <w:sz w:val="32"/>
          <w:szCs w:val="32"/>
          <w:highlight w:val="none"/>
          <w:u w:val="single"/>
          <w:lang w:val="en-US" w:eastAsia="zh-CN"/>
        </w:rPr>
        <w:t>1</w:t>
      </w:r>
      <w:r>
        <w:rPr>
          <w:rFonts w:ascii="黑体" w:hAnsi="黑体" w:eastAsia="黑体" w:cs="黑体"/>
          <w:sz w:val="32"/>
          <w:szCs w:val="32"/>
          <w:highlight w:val="none"/>
          <w:u w:val="single"/>
        </w:rPr>
        <w:t>月</w:t>
      </w:r>
      <w:r>
        <w:rPr>
          <w:rFonts w:hint="eastAsia" w:ascii="黑体" w:hAnsi="黑体" w:eastAsia="黑体" w:cs="黑体"/>
          <w:sz w:val="32"/>
          <w:szCs w:val="32"/>
          <w:highlight w:val="none"/>
          <w:u w:val="single"/>
          <w:lang w:val="en-US" w:eastAsia="zh-CN"/>
        </w:rPr>
        <w:t xml:space="preserve"> 27</w:t>
      </w:r>
      <w:bookmarkStart w:id="0" w:name="_GoBack"/>
      <w:bookmarkEnd w:id="0"/>
      <w:r>
        <w:rPr>
          <w:rFonts w:ascii="黑体" w:hAnsi="黑体" w:eastAsia="黑体" w:cs="黑体"/>
          <w:sz w:val="32"/>
          <w:szCs w:val="32"/>
          <w:highlight w:val="none"/>
          <w:u w:val="single"/>
        </w:rPr>
        <w:t>日</w:t>
      </w:r>
    </w:p>
    <w:p w14:paraId="4771ECBD">
      <w:pPr>
        <w:pStyle w:val="2"/>
        <w:spacing w:after="0" w:line="600" w:lineRule="exact"/>
        <w:ind w:left="0" w:leftChars="0" w:firstLine="0"/>
        <w:jc w:val="center"/>
        <w:rPr>
          <w:rFonts w:hint="default" w:ascii="黑体" w:hAnsi="黑体" w:eastAsia="黑体" w:cs="黑体"/>
          <w:highlight w:val="none"/>
        </w:rPr>
      </w:pPr>
      <w:r>
        <w:rPr>
          <w:rFonts w:ascii="黑体" w:hAnsi="黑体" w:eastAsia="黑体" w:cs="黑体"/>
          <w:sz w:val="32"/>
          <w:szCs w:val="32"/>
          <w:highlight w:val="none"/>
        </w:rPr>
        <w:t>公开时间：</w:t>
      </w:r>
      <w:r>
        <w:rPr>
          <w:rFonts w:hint="eastAsia" w:ascii="黑体" w:hAnsi="黑体" w:eastAsia="黑体" w:cs="黑体"/>
          <w:sz w:val="32"/>
          <w:szCs w:val="32"/>
          <w:highlight w:val="none"/>
          <w:u w:val="single"/>
          <w:lang w:val="en-US" w:eastAsia="zh-CN"/>
        </w:rPr>
        <w:t>2025</w:t>
      </w:r>
      <w:r>
        <w:rPr>
          <w:rFonts w:ascii="黑体" w:hAnsi="黑体" w:eastAsia="黑体" w:cs="黑体"/>
          <w:sz w:val="32"/>
          <w:szCs w:val="32"/>
          <w:highlight w:val="none"/>
          <w:u w:val="single"/>
        </w:rPr>
        <w:t>年</w:t>
      </w:r>
      <w:r>
        <w:rPr>
          <w:rFonts w:hint="eastAsia" w:ascii="黑体" w:hAnsi="黑体" w:eastAsia="黑体" w:cs="黑体"/>
          <w:sz w:val="32"/>
          <w:szCs w:val="32"/>
          <w:highlight w:val="none"/>
          <w:u w:val="single"/>
          <w:lang w:val="en-US" w:eastAsia="zh-CN"/>
        </w:rPr>
        <w:t>2</w:t>
      </w:r>
      <w:r>
        <w:rPr>
          <w:rFonts w:ascii="黑体" w:hAnsi="黑体" w:eastAsia="黑体" w:cs="黑体"/>
          <w:sz w:val="32"/>
          <w:szCs w:val="32"/>
          <w:highlight w:val="none"/>
          <w:u w:val="single"/>
        </w:rPr>
        <w:t>月</w:t>
      </w:r>
      <w:r>
        <w:rPr>
          <w:rFonts w:hint="eastAsia" w:ascii="黑体" w:hAnsi="黑体" w:eastAsia="黑体" w:cs="黑体"/>
          <w:sz w:val="32"/>
          <w:szCs w:val="32"/>
          <w:highlight w:val="none"/>
          <w:u w:val="single"/>
          <w:lang w:val="en-US" w:eastAsia="zh-CN"/>
        </w:rPr>
        <w:t>14</w:t>
      </w:r>
      <w:r>
        <w:rPr>
          <w:rFonts w:ascii="黑体" w:hAnsi="黑体" w:eastAsia="黑体" w:cs="黑体"/>
          <w:sz w:val="32"/>
          <w:szCs w:val="32"/>
          <w:highlight w:val="none"/>
          <w:u w:val="single"/>
        </w:rPr>
        <w:t>日</w:t>
      </w:r>
    </w:p>
    <w:p w14:paraId="5C8F39C8">
      <w:pPr>
        <w:spacing w:line="231" w:lineRule="auto"/>
        <w:rPr>
          <w:rFonts w:ascii="楷体" w:hAnsi="楷体" w:eastAsia="楷体" w:cs="楷体"/>
          <w:sz w:val="31"/>
          <w:szCs w:val="31"/>
        </w:rPr>
        <w:sectPr>
          <w:footerReference r:id="rId5" w:type="default"/>
          <w:pgSz w:w="11906" w:h="16839"/>
          <w:pgMar w:top="1431" w:right="1785" w:bottom="1271" w:left="1785" w:header="0" w:footer="1057" w:gutter="0"/>
          <w:pgNumType w:fmt="upperRoman"/>
          <w:cols w:space="720" w:num="1"/>
        </w:sectPr>
      </w:pPr>
    </w:p>
    <w:p w14:paraId="065C1698">
      <w:pPr>
        <w:spacing w:before="295" w:line="232" w:lineRule="auto"/>
        <w:ind w:left="3943"/>
        <w:rPr>
          <w:rFonts w:ascii="楷体" w:hAnsi="楷体" w:eastAsia="楷体" w:cs="楷体"/>
          <w:sz w:val="35"/>
          <w:szCs w:val="35"/>
        </w:rPr>
      </w:pPr>
      <w:r>
        <w:rPr>
          <w:rFonts w:ascii="楷体" w:hAnsi="楷体" w:eastAsia="楷体" w:cs="楷体"/>
          <w:spacing w:val="-42"/>
          <w:sz w:val="35"/>
          <w:szCs w:val="35"/>
          <w14:textOutline w14:w="6537" w14:cap="sq" w14:cmpd="sng">
            <w14:solidFill>
              <w14:srgbClr w14:val="000000"/>
            </w14:solidFill>
            <w14:prstDash w14:val="solid"/>
            <w14:bevel/>
          </w14:textOutline>
        </w:rPr>
        <w:t>目</w:t>
      </w:r>
      <w:r>
        <w:rPr>
          <w:rFonts w:ascii="楷体" w:hAnsi="楷体" w:eastAsia="楷体" w:cs="楷体"/>
          <w:spacing w:val="25"/>
          <w:sz w:val="35"/>
          <w:szCs w:val="35"/>
        </w:rPr>
        <w:t xml:space="preserve">  </w:t>
      </w:r>
      <w:r>
        <w:rPr>
          <w:rFonts w:ascii="楷体" w:hAnsi="楷体" w:eastAsia="楷体" w:cs="楷体"/>
          <w:spacing w:val="-42"/>
          <w:sz w:val="35"/>
          <w:szCs w:val="35"/>
          <w14:textOutline w14:w="6537" w14:cap="sq" w14:cmpd="sng">
            <w14:solidFill>
              <w14:srgbClr w14:val="000000"/>
            </w14:solidFill>
            <w14:prstDash w14:val="solid"/>
            <w14:bevel/>
          </w14:textOutline>
        </w:rPr>
        <w:t>录</w:t>
      </w:r>
    </w:p>
    <w:p w14:paraId="62213BE7">
      <w:pPr>
        <w:pStyle w:val="6"/>
        <w:widowControl w:val="0"/>
        <w:kinsoku/>
        <w:autoSpaceDE/>
        <w:autoSpaceDN/>
        <w:adjustRightInd/>
        <w:snapToGrid/>
        <w:spacing w:after="0" w:line="600" w:lineRule="exact"/>
        <w:jc w:val="both"/>
        <w:textAlignment w:val="auto"/>
        <w:rPr>
          <w:rFonts w:hint="eastAsia"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第一部分  单位概况</w:t>
      </w:r>
    </w:p>
    <w:p w14:paraId="15C2E15F">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一、单位主要职能、职责</w:t>
      </w:r>
    </w:p>
    <w:p w14:paraId="7ABF6B0B">
      <w:pPr>
        <w:spacing w:before="173" w:line="231" w:lineRule="auto"/>
        <w:ind w:left="624"/>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二、机构设置及预算单位构成情况</w:t>
      </w:r>
    </w:p>
    <w:p w14:paraId="70B16702">
      <w:pPr>
        <w:spacing w:before="173" w:line="231" w:lineRule="auto"/>
        <w:ind w:left="624"/>
        <w:rPr>
          <w:rFonts w:hint="default"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三、2025年度单位主要工作任务及目标</w:t>
      </w:r>
    </w:p>
    <w:p w14:paraId="590D00D6">
      <w:pPr>
        <w:pStyle w:val="6"/>
        <w:widowControl w:val="0"/>
        <w:kinsoku/>
        <w:autoSpaceDE/>
        <w:autoSpaceDN/>
        <w:adjustRightInd/>
        <w:snapToGrid/>
        <w:spacing w:after="0" w:line="600" w:lineRule="exact"/>
        <w:jc w:val="both"/>
        <w:textAlignment w:val="auto"/>
        <w:rPr>
          <w:rFonts w:hint="eastAsia"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第二部分  202</w:t>
      </w:r>
      <w:r>
        <w:rPr>
          <w:rFonts w:hint="eastAsia" w:ascii="黑体" w:hAnsi="黑体" w:eastAsia="黑体" w:cs="黑体"/>
          <w:snapToGrid/>
          <w:kern w:val="2"/>
          <w:sz w:val="32"/>
          <w:szCs w:val="32"/>
          <w:highlight w:val="none"/>
          <w:lang w:val="en-US" w:eastAsia="zh-CN"/>
        </w:rPr>
        <w:t>5</w:t>
      </w:r>
      <w:r>
        <w:rPr>
          <w:rFonts w:hint="eastAsia" w:ascii="黑体" w:hAnsi="黑体" w:eastAsia="黑体" w:cs="黑体"/>
          <w:snapToGrid/>
          <w:kern w:val="2"/>
          <w:sz w:val="32"/>
          <w:szCs w:val="32"/>
          <w:highlight w:val="none"/>
          <w:lang w:eastAsia="zh-CN"/>
        </w:rPr>
        <w:t xml:space="preserve"> 年单位预算安排情况说明</w:t>
      </w:r>
    </w:p>
    <w:p w14:paraId="1132C180">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一、收支预算总体情况说明</w:t>
      </w:r>
    </w:p>
    <w:p w14:paraId="0D73AA99">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 xml:space="preserve">二、收入预算情况说明 </w:t>
      </w:r>
    </w:p>
    <w:p w14:paraId="2A8CFA11">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 xml:space="preserve">三、支出预算情况说明 </w:t>
      </w:r>
    </w:p>
    <w:p w14:paraId="0F37B7A0">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 xml:space="preserve">四、财政拨款收支预算总体情况说明 </w:t>
      </w:r>
    </w:p>
    <w:p w14:paraId="6A335DD6">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 xml:space="preserve">五、一般公共预算支出预算情况说明 </w:t>
      </w:r>
    </w:p>
    <w:p w14:paraId="4A5FC6CC">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 xml:space="preserve">六、一般公共预算基本支出预算情况说明 </w:t>
      </w:r>
    </w:p>
    <w:p w14:paraId="674A37B9">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 xml:space="preserve">七、一般公共预算“三公”经费支出预算情况说明 </w:t>
      </w:r>
    </w:p>
    <w:p w14:paraId="55630E62">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 xml:space="preserve">八、政府性基金预算支出预算情况说明 </w:t>
      </w:r>
    </w:p>
    <w:p w14:paraId="43B0FE5B">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 xml:space="preserve">九、国有资本经营预算支出预算情况说明 </w:t>
      </w:r>
    </w:p>
    <w:p w14:paraId="381B58FA">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十、项目支出预算情况说明</w:t>
      </w:r>
    </w:p>
    <w:p w14:paraId="3FFC0FF4">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十一、机关运行经费安排情况说明</w:t>
      </w:r>
    </w:p>
    <w:p w14:paraId="4C53AA3E">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十二、政府采购预算情况说明</w:t>
      </w:r>
    </w:p>
    <w:p w14:paraId="5DF64ABA">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十三、国有资产占有使用情况说明</w:t>
      </w:r>
    </w:p>
    <w:p w14:paraId="49B531D6">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十四、项目支出绩效目标情况说明</w:t>
      </w:r>
    </w:p>
    <w:p w14:paraId="1BAEC967">
      <w:pPr>
        <w:pStyle w:val="2"/>
      </w:pPr>
    </w:p>
    <w:p w14:paraId="0C9E3E34">
      <w:pPr>
        <w:pStyle w:val="6"/>
        <w:widowControl w:val="0"/>
        <w:kinsoku/>
        <w:autoSpaceDE/>
        <w:autoSpaceDN/>
        <w:adjustRightInd/>
        <w:snapToGrid/>
        <w:spacing w:after="0" w:line="600" w:lineRule="exact"/>
        <w:jc w:val="both"/>
        <w:textAlignment w:val="auto"/>
        <w:rPr>
          <w:rFonts w:hint="eastAsia"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第三部分  名词解释</w:t>
      </w:r>
    </w:p>
    <w:p w14:paraId="4D4AF5B2">
      <w:pPr>
        <w:pStyle w:val="6"/>
        <w:widowControl w:val="0"/>
        <w:kinsoku/>
        <w:autoSpaceDE/>
        <w:autoSpaceDN/>
        <w:adjustRightInd/>
        <w:snapToGrid/>
        <w:spacing w:after="0" w:line="600" w:lineRule="exact"/>
        <w:jc w:val="both"/>
        <w:textAlignment w:val="auto"/>
        <w:rPr>
          <w:rFonts w:hint="eastAsia"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第四部分  预算公开联系方式及信息反馈渠道</w:t>
      </w:r>
    </w:p>
    <w:p w14:paraId="6B5E4B0B">
      <w:pPr>
        <w:pStyle w:val="6"/>
        <w:widowControl w:val="0"/>
        <w:kinsoku/>
        <w:autoSpaceDE/>
        <w:autoSpaceDN/>
        <w:adjustRightInd/>
        <w:snapToGrid/>
        <w:spacing w:after="0" w:line="600" w:lineRule="exact"/>
        <w:jc w:val="both"/>
        <w:textAlignment w:val="auto"/>
        <w:rPr>
          <w:rFonts w:hint="eastAsia"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第五部分  202</w:t>
      </w:r>
      <w:r>
        <w:rPr>
          <w:rFonts w:hint="eastAsia" w:ascii="黑体" w:hAnsi="黑体" w:eastAsia="黑体" w:cs="黑体"/>
          <w:snapToGrid/>
          <w:kern w:val="2"/>
          <w:sz w:val="32"/>
          <w:szCs w:val="32"/>
          <w:highlight w:val="none"/>
          <w:lang w:val="en-US" w:eastAsia="zh-CN"/>
        </w:rPr>
        <w:t>5</w:t>
      </w:r>
      <w:r>
        <w:rPr>
          <w:rFonts w:hint="eastAsia" w:ascii="黑体" w:hAnsi="黑体" w:eastAsia="黑体" w:cs="黑体"/>
          <w:snapToGrid/>
          <w:kern w:val="2"/>
          <w:sz w:val="32"/>
          <w:szCs w:val="32"/>
          <w:highlight w:val="none"/>
          <w:lang w:eastAsia="zh-CN"/>
        </w:rPr>
        <w:t xml:space="preserve"> 年单位预算公开表</w:t>
      </w:r>
    </w:p>
    <w:p w14:paraId="338DCD45">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一、 收支预算总表</w:t>
      </w:r>
    </w:p>
    <w:p w14:paraId="72AEC35D">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二、 收入预算总表</w:t>
      </w:r>
    </w:p>
    <w:p w14:paraId="5F9600C3">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三、 支出预算总表</w:t>
      </w:r>
    </w:p>
    <w:p w14:paraId="480C3FF2">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四、 财政拨款预算总表</w:t>
      </w:r>
    </w:p>
    <w:p w14:paraId="59C44FD6">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五、 一般公共预算支出表</w:t>
      </w:r>
    </w:p>
    <w:p w14:paraId="58613D4F">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六、 一般公共预算基本支出表</w:t>
      </w:r>
    </w:p>
    <w:p w14:paraId="4F4D84BA">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七、 一般公共预算“三公”经费支出预算表</w:t>
      </w:r>
    </w:p>
    <w:p w14:paraId="32DEBB44">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八、 政府性基金预算支出表</w:t>
      </w:r>
    </w:p>
    <w:p w14:paraId="792425B6">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九、 国有资本经营预算支出表</w:t>
      </w:r>
    </w:p>
    <w:p w14:paraId="239F4EFE">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十、 项目支出表</w:t>
      </w:r>
    </w:p>
    <w:p w14:paraId="1FCECFD8">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十一、 项目绩效目标表</w:t>
      </w:r>
    </w:p>
    <w:p w14:paraId="5E0CCBEF">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仿宋"/>
          <w:snapToGrid/>
          <w:kern w:val="2"/>
          <w:sz w:val="32"/>
          <w:szCs w:val="32"/>
          <w:highlight w:val="none"/>
          <w:lang w:val="en-US" w:eastAsia="zh-CN" w:bidi="ar-SA"/>
        </w:rPr>
        <w:t>十二、政府采购预算表</w:t>
      </w:r>
    </w:p>
    <w:p w14:paraId="78937154">
      <w:pPr>
        <w:spacing w:before="172" w:line="230" w:lineRule="auto"/>
        <w:ind w:left="628"/>
        <w:rPr>
          <w:rFonts w:hint="eastAsia" w:ascii="Times New Roman" w:hAnsi="Times New Roman" w:eastAsia="仿宋_GB2312" w:cs="仿宋"/>
          <w:snapToGrid/>
          <w:kern w:val="2"/>
          <w:sz w:val="32"/>
          <w:szCs w:val="32"/>
          <w:highlight w:val="none"/>
          <w:lang w:val="en-US" w:eastAsia="zh-CN" w:bidi="ar-SA"/>
        </w:rPr>
        <w:sectPr>
          <w:footerReference r:id="rId6" w:type="default"/>
          <w:pgSz w:w="11906" w:h="16839"/>
          <w:pgMar w:top="1431" w:right="1785" w:bottom="1271" w:left="1561" w:header="0" w:footer="1057" w:gutter="0"/>
          <w:pgNumType w:fmt="upperRoman"/>
          <w:cols w:space="720" w:num="1"/>
        </w:sectPr>
      </w:pPr>
    </w:p>
    <w:p w14:paraId="7DA02EE3">
      <w:pPr>
        <w:pStyle w:val="4"/>
        <w:widowControl w:val="0"/>
        <w:tabs>
          <w:tab w:val="left" w:pos="4392"/>
        </w:tabs>
        <w:kinsoku/>
        <w:autoSpaceDE/>
        <w:autoSpaceDN/>
        <w:adjustRightInd/>
        <w:snapToGrid/>
        <w:spacing w:before="0" w:after="0" w:line="600" w:lineRule="exact"/>
        <w:ind w:firstLine="0" w:firstLineChars="0"/>
        <w:jc w:val="center"/>
        <w:textAlignment w:val="auto"/>
        <w:rPr>
          <w:rFonts w:hint="eastAsia" w:ascii="方正小标宋简体" w:hAnsi="方正小标宋简体" w:eastAsia="方正小标宋简体" w:cs="方正小标宋简体"/>
          <w:b w:val="0"/>
          <w:bCs w:val="0"/>
          <w:snapToGrid/>
          <w:kern w:val="2"/>
          <w:sz w:val="36"/>
          <w:szCs w:val="36"/>
          <w:highlight w:val="none"/>
          <w:lang w:eastAsia="zh-CN"/>
        </w:rPr>
      </w:pPr>
      <w:r>
        <w:rPr>
          <w:rFonts w:hint="eastAsia" w:ascii="方正小标宋简体" w:hAnsi="方正小标宋简体" w:eastAsia="方正小标宋简体" w:cs="方正小标宋简体"/>
          <w:b w:val="0"/>
          <w:bCs w:val="0"/>
          <w:snapToGrid/>
          <w:kern w:val="2"/>
          <w:sz w:val="36"/>
          <w:szCs w:val="36"/>
          <w:highlight w:val="none"/>
          <w:lang w:eastAsia="zh-CN"/>
        </w:rPr>
        <w:t>第一部分  单位概况</w:t>
      </w:r>
    </w:p>
    <w:p w14:paraId="7E0F63DB">
      <w:pPr>
        <w:pStyle w:val="6"/>
        <w:spacing w:line="308" w:lineRule="auto"/>
      </w:pPr>
    </w:p>
    <w:p w14:paraId="2DE3674E">
      <w:pPr>
        <w:pStyle w:val="6"/>
        <w:spacing w:line="308" w:lineRule="auto"/>
      </w:pPr>
    </w:p>
    <w:p w14:paraId="3842EBAA">
      <w:pPr>
        <w:widowControl w:val="0"/>
        <w:numPr>
          <w:ilvl w:val="0"/>
          <w:numId w:val="0"/>
        </w:numPr>
        <w:kinsoku/>
        <w:autoSpaceDE/>
        <w:autoSpaceDN/>
        <w:adjustRightInd/>
        <w:snapToGrid/>
        <w:spacing w:line="600" w:lineRule="exact"/>
        <w:ind w:leftChars="203"/>
        <w:jc w:val="both"/>
        <w:textAlignment w:val="auto"/>
        <w:outlineLvl w:val="2"/>
        <w:rPr>
          <w:rFonts w:hint="eastAsia" w:ascii="Times New Roman" w:hAnsi="Times New Roman" w:eastAsia="黑体" w:cs="黑体"/>
          <w:snapToGrid/>
          <w:kern w:val="2"/>
          <w:sz w:val="32"/>
          <w:szCs w:val="36"/>
          <w:highlight w:val="none"/>
          <w:lang w:eastAsia="zh-CN"/>
        </w:rPr>
      </w:pPr>
      <w:r>
        <w:rPr>
          <w:rFonts w:hint="eastAsia" w:ascii="Times New Roman" w:hAnsi="Times New Roman" w:eastAsia="黑体" w:cs="黑体"/>
          <w:snapToGrid/>
          <w:kern w:val="2"/>
          <w:sz w:val="32"/>
          <w:szCs w:val="36"/>
          <w:highlight w:val="none"/>
          <w:lang w:eastAsia="zh-CN"/>
        </w:rPr>
        <w:t>一、单位主要职能、职责</w:t>
      </w:r>
    </w:p>
    <w:p w14:paraId="5CC33CB2">
      <w:pPr>
        <w:widowControl w:val="0"/>
        <w:kinsoku/>
        <w:autoSpaceDE/>
        <w:autoSpaceDN/>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32"/>
          <w:highlight w:val="none"/>
          <w:lang w:val="en-US" w:eastAsia="zh-CN"/>
        </w:rPr>
      </w:pPr>
      <w:r>
        <w:rPr>
          <w:rFonts w:hint="eastAsia" w:ascii="Times New Roman" w:hAnsi="Times New Roman" w:eastAsia="仿宋_GB2312" w:cstheme="minorBidi"/>
          <w:snapToGrid/>
          <w:kern w:val="2"/>
          <w:sz w:val="32"/>
          <w:szCs w:val="32"/>
          <w:highlight w:val="none"/>
          <w:lang w:val="en-US" w:eastAsia="zh-CN"/>
        </w:rPr>
        <w:t>内蒙古自治区卫生</w:t>
      </w:r>
      <w:r>
        <w:rPr>
          <w:rFonts w:hint="default" w:ascii="Times New Roman" w:hAnsi="Times New Roman" w:eastAsia="仿宋_GB2312" w:cstheme="minorBidi"/>
          <w:snapToGrid/>
          <w:kern w:val="2"/>
          <w:sz w:val="32"/>
          <w:szCs w:val="32"/>
          <w:highlight w:val="none"/>
          <w:lang w:val="en-US" w:eastAsia="zh-CN"/>
        </w:rPr>
        <w:t>健康委员会综合保障</w:t>
      </w:r>
      <w:r>
        <w:rPr>
          <w:rFonts w:hint="eastAsia" w:ascii="Times New Roman" w:hAnsi="Times New Roman" w:eastAsia="仿宋_GB2312" w:cstheme="minorBidi"/>
          <w:snapToGrid/>
          <w:kern w:val="2"/>
          <w:sz w:val="32"/>
          <w:szCs w:val="32"/>
          <w:highlight w:val="none"/>
          <w:lang w:val="en-US" w:eastAsia="zh-CN"/>
        </w:rPr>
        <w:t>中心被核准为正处级公益一类事业单位。</w:t>
      </w:r>
    </w:p>
    <w:p w14:paraId="2CB462BC">
      <w:pPr>
        <w:widowControl w:val="0"/>
        <w:kinsoku/>
        <w:autoSpaceDE/>
        <w:autoSpaceDN/>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32"/>
          <w:highlight w:val="none"/>
          <w:lang w:val="en-US" w:eastAsia="zh-CN"/>
        </w:rPr>
      </w:pPr>
      <w:r>
        <w:rPr>
          <w:rFonts w:hint="eastAsia" w:ascii="Times New Roman" w:hAnsi="Times New Roman" w:eastAsia="仿宋_GB2312" w:cstheme="minorBidi"/>
          <w:snapToGrid/>
          <w:kern w:val="2"/>
          <w:sz w:val="32"/>
          <w:szCs w:val="32"/>
          <w:highlight w:val="none"/>
          <w:lang w:val="en-US" w:eastAsia="zh-CN"/>
        </w:rPr>
        <w:t>主要工作任务是承担机关后勤保障服务工作；承担安全保卫、国有资产管理、公共机构节能、公务接待、机要交换、信访接待、政务公开、档案管理等事务性工作；承担全区卫生健康统计、相关数据监测等辅助性工作并进行分析；承担全区卫生服务调查等专项工作；承担卫生健康行业信息标准推广应用、软件正版化、办公局域网日常使用和办公自动化技术支持工作；承担医疗卫生援外任务和国际、港澳台交流合作相关任务；承担全区卫生健康系统因公出国（境）组织、培训和初审工作；协调国际紧急医学救援事务性工作；承担自治区卫生健康委员会交办的其他相关工作。</w:t>
      </w:r>
    </w:p>
    <w:p w14:paraId="25B81DBB">
      <w:pPr>
        <w:spacing w:before="1" w:line="225" w:lineRule="auto"/>
        <w:ind w:left="11"/>
        <w:rPr>
          <w:rFonts w:ascii="仿宋" w:hAnsi="仿宋" w:eastAsia="仿宋" w:cs="仿宋"/>
          <w:sz w:val="31"/>
          <w:szCs w:val="31"/>
        </w:rPr>
      </w:pPr>
    </w:p>
    <w:p w14:paraId="52EF3492">
      <w:pPr>
        <w:widowControl w:val="0"/>
        <w:numPr>
          <w:ilvl w:val="0"/>
          <w:numId w:val="0"/>
        </w:numPr>
        <w:kinsoku/>
        <w:autoSpaceDE/>
        <w:autoSpaceDN/>
        <w:adjustRightInd/>
        <w:snapToGrid/>
        <w:spacing w:line="600" w:lineRule="exact"/>
        <w:ind w:leftChars="203"/>
        <w:jc w:val="both"/>
        <w:textAlignment w:val="auto"/>
        <w:outlineLvl w:val="2"/>
        <w:rPr>
          <w:rFonts w:hint="eastAsia" w:ascii="Times New Roman" w:hAnsi="Times New Roman" w:eastAsia="黑体" w:cs="黑体"/>
          <w:snapToGrid/>
          <w:kern w:val="2"/>
          <w:sz w:val="32"/>
          <w:szCs w:val="36"/>
          <w:highlight w:val="none"/>
          <w:lang w:eastAsia="zh-CN"/>
        </w:rPr>
      </w:pPr>
      <w:r>
        <w:rPr>
          <w:rFonts w:hint="eastAsia" w:ascii="Times New Roman" w:hAnsi="Times New Roman" w:eastAsia="黑体" w:cs="黑体"/>
          <w:snapToGrid/>
          <w:kern w:val="2"/>
          <w:sz w:val="32"/>
          <w:szCs w:val="36"/>
          <w:highlight w:val="none"/>
          <w:lang w:eastAsia="zh-CN"/>
        </w:rPr>
        <w:t>二、单位机构设置及预算单位构成情况</w:t>
      </w:r>
    </w:p>
    <w:p w14:paraId="1590AFF8">
      <w:pPr>
        <w:widowControl w:val="0"/>
        <w:kinsoku/>
        <w:autoSpaceDE/>
        <w:autoSpaceDN/>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32"/>
          <w:highlight w:val="none"/>
          <w:lang w:val="en-US" w:eastAsia="zh-CN"/>
        </w:rPr>
      </w:pPr>
      <w:r>
        <w:rPr>
          <w:rFonts w:hint="default" w:ascii="Times New Roman" w:hAnsi="Times New Roman" w:eastAsia="仿宋_GB2312" w:cstheme="minorBidi"/>
          <w:snapToGrid/>
          <w:kern w:val="2"/>
          <w:sz w:val="32"/>
          <w:szCs w:val="32"/>
          <w:highlight w:val="none"/>
          <w:lang w:val="en-US" w:eastAsia="zh-CN"/>
        </w:rPr>
        <w:t>1.</w:t>
      </w:r>
      <w:r>
        <w:rPr>
          <w:rFonts w:hint="eastAsia" w:ascii="Times New Roman" w:hAnsi="Times New Roman" w:eastAsia="仿宋_GB2312" w:cstheme="minorBidi"/>
          <w:snapToGrid/>
          <w:kern w:val="2"/>
          <w:sz w:val="32"/>
          <w:szCs w:val="32"/>
          <w:highlight w:val="none"/>
          <w:lang w:val="en-US" w:eastAsia="zh-CN"/>
        </w:rPr>
        <w:t>根据单位职责分工，本单位内设机构包括办公室、党建人事科、政务服务科、统计信息科、对外交流科、后勤保障科、后勤管理科总计7个正科级机构。本单位无下属单位。</w:t>
      </w:r>
    </w:p>
    <w:p w14:paraId="0C822869">
      <w:pPr>
        <w:widowControl w:val="0"/>
        <w:kinsoku/>
        <w:autoSpaceDE/>
        <w:autoSpaceDN/>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32"/>
          <w:highlight w:val="none"/>
          <w:lang w:val="en-US" w:eastAsia="zh-CN"/>
        </w:rPr>
      </w:pPr>
      <w:r>
        <w:rPr>
          <w:rFonts w:hint="default" w:ascii="Times New Roman" w:hAnsi="Times New Roman" w:eastAsia="仿宋_GB2312" w:cstheme="minorBidi"/>
          <w:snapToGrid/>
          <w:kern w:val="2"/>
          <w:sz w:val="32"/>
          <w:szCs w:val="32"/>
          <w:highlight w:val="none"/>
          <w:lang w:val="en-US" w:eastAsia="zh-CN"/>
        </w:rPr>
        <w:t>2.</w:t>
      </w:r>
      <w:r>
        <w:rPr>
          <w:rFonts w:hint="eastAsia" w:ascii="Times New Roman" w:hAnsi="Times New Roman" w:eastAsia="仿宋_GB2312" w:cstheme="minorBidi"/>
          <w:snapToGrid/>
          <w:kern w:val="2"/>
          <w:sz w:val="32"/>
          <w:szCs w:val="32"/>
          <w:highlight w:val="none"/>
          <w:lang w:val="en-US" w:eastAsia="zh-CN"/>
        </w:rPr>
        <w:t>从预算单位构成看，纳入本单位2025年单位汇总预算编制范围的预算单位共计1家，具体包括：内蒙古自治区卫生健康委员会综合保障中心。详细情况见表：</w:t>
      </w:r>
    </w:p>
    <w:tbl>
      <w:tblPr>
        <w:tblStyle w:val="9"/>
        <w:tblW w:w="8522"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62"/>
        <w:gridCol w:w="3260"/>
        <w:gridCol w:w="4600"/>
      </w:tblGrid>
      <w:tr w14:paraId="4F88880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662"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14:paraId="06D055EC">
            <w:pPr>
              <w:widowControl w:val="0"/>
              <w:kinsoku/>
              <w:autoSpaceDE/>
              <w:autoSpaceDN/>
              <w:adjustRightInd/>
              <w:snapToGrid/>
              <w:spacing w:line="600" w:lineRule="exact"/>
              <w:jc w:val="both"/>
              <w:textAlignment w:val="auto"/>
              <w:rPr>
                <w:rFonts w:hint="eastAsia" w:ascii="Times New Roman" w:hAnsi="Times New Roman" w:eastAsia="仿宋_GB2312" w:cstheme="minorBidi"/>
                <w:snapToGrid/>
                <w:kern w:val="2"/>
                <w:sz w:val="32"/>
                <w:szCs w:val="32"/>
                <w:highlight w:val="none"/>
                <w:lang w:val="en-US" w:eastAsia="zh-CN"/>
              </w:rPr>
            </w:pPr>
            <w:r>
              <w:rPr>
                <w:rFonts w:hint="eastAsia" w:ascii="Times New Roman" w:hAnsi="Times New Roman" w:eastAsia="仿宋_GB2312" w:cstheme="minorBidi"/>
                <w:snapToGrid/>
                <w:kern w:val="2"/>
                <w:sz w:val="32"/>
                <w:szCs w:val="32"/>
                <w:highlight w:val="none"/>
                <w:lang w:val="en-US" w:eastAsia="zh-CN"/>
              </w:rPr>
              <w:t>序号</w:t>
            </w:r>
          </w:p>
        </w:tc>
        <w:tc>
          <w:tcPr>
            <w:tcW w:w="3260"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14:paraId="2CDD61AA">
            <w:pPr>
              <w:widowControl w:val="0"/>
              <w:kinsoku/>
              <w:autoSpaceDE/>
              <w:autoSpaceDN/>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32"/>
                <w:highlight w:val="none"/>
                <w:lang w:val="en-US" w:eastAsia="zh-CN"/>
              </w:rPr>
            </w:pPr>
            <w:r>
              <w:rPr>
                <w:rFonts w:hint="eastAsia" w:ascii="Times New Roman" w:hAnsi="Times New Roman" w:eastAsia="仿宋_GB2312" w:cstheme="minorBidi"/>
                <w:snapToGrid/>
                <w:kern w:val="2"/>
                <w:sz w:val="32"/>
                <w:szCs w:val="32"/>
                <w:highlight w:val="none"/>
                <w:lang w:val="en-US" w:eastAsia="zh-CN"/>
              </w:rPr>
              <w:t>单位名称</w:t>
            </w:r>
          </w:p>
        </w:tc>
        <w:tc>
          <w:tcPr>
            <w:tcW w:w="4600"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14:paraId="6879AAF8">
            <w:pPr>
              <w:widowControl w:val="0"/>
              <w:kinsoku/>
              <w:autoSpaceDE/>
              <w:autoSpaceDN/>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32"/>
                <w:highlight w:val="none"/>
                <w:lang w:val="en-US" w:eastAsia="zh-CN"/>
              </w:rPr>
            </w:pPr>
            <w:r>
              <w:rPr>
                <w:rFonts w:hint="eastAsia" w:ascii="Times New Roman" w:hAnsi="Times New Roman" w:eastAsia="仿宋_GB2312" w:cstheme="minorBidi"/>
                <w:snapToGrid/>
                <w:kern w:val="2"/>
                <w:sz w:val="32"/>
                <w:szCs w:val="32"/>
                <w:highlight w:val="none"/>
                <w:lang w:val="en-US" w:eastAsia="zh-CN"/>
              </w:rPr>
              <w:t>单位性质</w:t>
            </w:r>
          </w:p>
        </w:tc>
      </w:tr>
      <w:tr w14:paraId="3690BCD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66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14:paraId="7FEDBAC1">
            <w:pPr>
              <w:widowControl w:val="0"/>
              <w:kinsoku/>
              <w:autoSpaceDE/>
              <w:autoSpaceDN/>
              <w:adjustRightInd/>
              <w:snapToGrid/>
              <w:spacing w:line="600" w:lineRule="exact"/>
              <w:jc w:val="center"/>
              <w:textAlignment w:val="auto"/>
              <w:rPr>
                <w:rFonts w:hint="default" w:ascii="Arial" w:hAnsi="Arial" w:eastAsia="Arial" w:cs="Arial"/>
                <w:snapToGrid w:val="0"/>
                <w:color w:val="000000"/>
                <w:kern w:val="0"/>
                <w:sz w:val="21"/>
                <w:szCs w:val="21"/>
                <w:lang w:val="en-US" w:eastAsia="zh-CN" w:bidi="ar-SA"/>
              </w:rPr>
            </w:pPr>
            <w:r>
              <w:rPr>
                <w:rFonts w:hint="eastAsia" w:cs="Arial"/>
                <w:snapToGrid w:val="0"/>
                <w:color w:val="000000"/>
                <w:kern w:val="0"/>
                <w:sz w:val="21"/>
                <w:szCs w:val="21"/>
                <w:lang w:val="en-US" w:eastAsia="zh-CN" w:bidi="ar-SA"/>
              </w:rPr>
              <w:t>1</w:t>
            </w:r>
          </w:p>
        </w:tc>
        <w:tc>
          <w:tcPr>
            <w:tcW w:w="3260" w:type="dxa"/>
            <w:tcBorders>
              <w:top w:val="nil"/>
              <w:left w:val="nil"/>
              <w:bottom w:val="single" w:color="auto" w:sz="8" w:space="0"/>
              <w:right w:val="single" w:color="auto" w:sz="8" w:space="0"/>
            </w:tcBorders>
            <w:shd w:val="clear" w:color="auto" w:fill="auto"/>
            <w:tcMar>
              <w:left w:w="108" w:type="dxa"/>
              <w:right w:w="108" w:type="dxa"/>
            </w:tcMar>
            <w:vAlign w:val="top"/>
          </w:tcPr>
          <w:p w14:paraId="07581BDA">
            <w:pPr>
              <w:widowControl w:val="0"/>
              <w:kinsoku/>
              <w:autoSpaceDE/>
              <w:autoSpaceDN/>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32"/>
                <w:highlight w:val="none"/>
                <w:lang w:val="en-US" w:eastAsia="zh-CN"/>
              </w:rPr>
            </w:pPr>
            <w:r>
              <w:rPr>
                <w:rFonts w:hint="eastAsia" w:ascii="Times New Roman" w:hAnsi="Times New Roman" w:eastAsia="仿宋_GB2312" w:cstheme="minorBidi"/>
                <w:snapToGrid/>
                <w:kern w:val="2"/>
                <w:sz w:val="32"/>
                <w:szCs w:val="32"/>
                <w:highlight w:val="none"/>
                <w:lang w:val="en-US" w:eastAsia="zh-CN"/>
              </w:rPr>
              <w:t>内蒙古自治区卫生健康委员会综合保障中心</w:t>
            </w:r>
          </w:p>
        </w:tc>
        <w:tc>
          <w:tcPr>
            <w:tcW w:w="4600" w:type="dxa"/>
            <w:tcBorders>
              <w:top w:val="nil"/>
              <w:left w:val="nil"/>
              <w:bottom w:val="single" w:color="auto" w:sz="8" w:space="0"/>
              <w:right w:val="single" w:color="auto" w:sz="8" w:space="0"/>
            </w:tcBorders>
            <w:shd w:val="clear" w:color="auto" w:fill="auto"/>
            <w:tcMar>
              <w:left w:w="108" w:type="dxa"/>
              <w:right w:w="108" w:type="dxa"/>
            </w:tcMar>
            <w:vAlign w:val="top"/>
          </w:tcPr>
          <w:p w14:paraId="58E5CBFC">
            <w:pPr>
              <w:widowControl w:val="0"/>
              <w:kinsoku/>
              <w:autoSpaceDE/>
              <w:autoSpaceDN/>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32"/>
                <w:highlight w:val="none"/>
                <w:lang w:val="en-US" w:eastAsia="zh-CN"/>
              </w:rPr>
            </w:pPr>
            <w:r>
              <w:rPr>
                <w:rFonts w:hint="eastAsia" w:ascii="Times New Roman" w:hAnsi="Times New Roman" w:eastAsia="仿宋_GB2312" w:cstheme="minorBidi"/>
                <w:snapToGrid/>
                <w:kern w:val="2"/>
                <w:sz w:val="32"/>
                <w:szCs w:val="32"/>
                <w:highlight w:val="none"/>
                <w:lang w:val="en-US" w:eastAsia="zh-CN"/>
              </w:rPr>
              <w:t>公益一类事业单位</w:t>
            </w:r>
          </w:p>
        </w:tc>
      </w:tr>
    </w:tbl>
    <w:p w14:paraId="0475A880">
      <w:pPr>
        <w:spacing w:before="178" w:line="333" w:lineRule="auto"/>
        <w:rPr>
          <w:rFonts w:hint="eastAsia" w:ascii="仿宋" w:hAnsi="仿宋" w:eastAsia="仿宋" w:cs="仿宋"/>
          <w:spacing w:val="5"/>
          <w:sz w:val="31"/>
          <w:szCs w:val="31"/>
          <w:lang w:val="en-US" w:eastAsia="zh-CN"/>
        </w:rPr>
      </w:pPr>
    </w:p>
    <w:p w14:paraId="2B2AC523">
      <w:pPr>
        <w:widowControl w:val="0"/>
        <w:numPr>
          <w:ilvl w:val="0"/>
          <w:numId w:val="0"/>
        </w:numPr>
        <w:kinsoku/>
        <w:autoSpaceDE/>
        <w:autoSpaceDN/>
        <w:adjustRightInd/>
        <w:snapToGrid/>
        <w:spacing w:line="600" w:lineRule="exact"/>
        <w:ind w:leftChars="203"/>
        <w:jc w:val="both"/>
        <w:textAlignment w:val="auto"/>
        <w:outlineLvl w:val="2"/>
        <w:rPr>
          <w:rFonts w:hint="eastAsia" w:ascii="Times New Roman" w:hAnsi="Times New Roman" w:eastAsia="黑体" w:cs="黑体"/>
          <w:snapToGrid/>
          <w:kern w:val="2"/>
          <w:sz w:val="32"/>
          <w:szCs w:val="36"/>
          <w:highlight w:val="none"/>
          <w:lang w:val="en-US" w:eastAsia="zh-CN"/>
        </w:rPr>
      </w:pPr>
      <w:r>
        <w:rPr>
          <w:rFonts w:hint="eastAsia" w:ascii="Times New Roman" w:hAnsi="Times New Roman" w:eastAsia="黑体" w:cs="黑体"/>
          <w:snapToGrid/>
          <w:kern w:val="2"/>
          <w:sz w:val="32"/>
          <w:szCs w:val="36"/>
          <w:highlight w:val="none"/>
          <w:lang w:val="en-US" w:eastAsia="zh-CN"/>
        </w:rPr>
        <w:t>三、2025年度单位主要工作任务及目标</w:t>
      </w:r>
    </w:p>
    <w:p w14:paraId="0A15CD78">
      <w:pPr>
        <w:widowControl/>
        <w:snapToGrid w:val="0"/>
        <w:spacing w:line="560" w:lineRule="exact"/>
        <w:ind w:firstLine="640" w:firstLineChars="200"/>
        <w:jc w:val="left"/>
        <w:rPr>
          <w:rFonts w:hint="default" w:ascii="黑体" w:hAnsi="黑体" w:eastAsia="黑体" w:cs="黑体"/>
          <w:spacing w:val="8"/>
          <w:sz w:val="31"/>
          <w:szCs w:val="31"/>
          <w:lang w:val="en-US" w:eastAsia="zh-CN"/>
        </w:rPr>
      </w:pPr>
      <w:r>
        <w:rPr>
          <w:rFonts w:hint="eastAsia" w:ascii="仿宋_GB2312" w:hAnsi="仿宋_GB2312" w:eastAsia="仿宋_GB2312" w:cs="仿宋_GB2312"/>
          <w:bCs/>
          <w:color w:val="000000"/>
          <w:kern w:val="0"/>
          <w:sz w:val="32"/>
          <w:szCs w:val="32"/>
          <w:lang w:bidi="ar"/>
        </w:rPr>
        <w:t>综合保障中心将继续</w:t>
      </w:r>
      <w:r>
        <w:rPr>
          <w:rFonts w:hint="eastAsia" w:ascii="仿宋_GB2312" w:hAnsi="仿宋_GB2312" w:eastAsia="仿宋_GB2312" w:cs="仿宋_GB2312"/>
          <w:sz w:val="32"/>
          <w:szCs w:val="32"/>
        </w:rPr>
        <w:t>积极融入卫生健康事业发展大局，围绕</w:t>
      </w:r>
      <w:r>
        <w:rPr>
          <w:rFonts w:hint="eastAsia" w:ascii="仿宋_GB2312" w:hAnsi="仿宋_GB2312" w:eastAsia="仿宋_GB2312" w:cs="仿宋_GB2312"/>
          <w:bCs/>
          <w:color w:val="000000"/>
          <w:kern w:val="0"/>
          <w:sz w:val="32"/>
          <w:szCs w:val="32"/>
          <w:lang w:bidi="ar"/>
        </w:rPr>
        <w:t>主责主业</w:t>
      </w:r>
      <w:r>
        <w:rPr>
          <w:rFonts w:hint="eastAsia" w:ascii="仿宋_GB2312" w:hAnsi="仿宋_GB2312" w:eastAsia="仿宋_GB2312" w:cs="仿宋_GB2312"/>
          <w:sz w:val="32"/>
          <w:szCs w:val="32"/>
        </w:rPr>
        <w:t>抓细抓实，以重点难点工作带出亮点工作</w:t>
      </w:r>
      <w:r>
        <w:rPr>
          <w:rFonts w:hint="eastAsia" w:ascii="仿宋_GB2312" w:hAnsi="仿宋_GB2312" w:eastAsia="仿宋_GB2312" w:cs="仿宋_GB2312"/>
          <w:bCs/>
          <w:color w:val="000000"/>
          <w:kern w:val="0"/>
          <w:sz w:val="32"/>
          <w:szCs w:val="32"/>
          <w:lang w:bidi="ar"/>
        </w:rPr>
        <w:t>，</w:t>
      </w:r>
      <w:r>
        <w:rPr>
          <w:rFonts w:hint="eastAsia" w:ascii="仿宋_GB2312" w:hAnsi="仿宋_GB2312" w:eastAsia="仿宋_GB2312" w:cs="仿宋_GB2312"/>
          <w:sz w:val="32"/>
          <w:szCs w:val="32"/>
        </w:rPr>
        <w:t>全面展现党业融合、服务保障的工作成效，持续</w:t>
      </w:r>
      <w:r>
        <w:rPr>
          <w:rFonts w:hint="eastAsia" w:ascii="仿宋_GB2312" w:eastAsia="仿宋_GB2312"/>
          <w:sz w:val="32"/>
          <w:szCs w:val="32"/>
        </w:rPr>
        <w:t>保持高质量发展的良好态势</w:t>
      </w:r>
      <w:r>
        <w:rPr>
          <w:rFonts w:hint="eastAsia" w:ascii="仿宋_GB2312" w:hAnsi="仿宋_GB2312" w:eastAsia="仿宋_GB2312" w:cs="仿宋_GB2312"/>
          <w:bCs/>
          <w:color w:val="000000"/>
          <w:kern w:val="0"/>
          <w:sz w:val="32"/>
          <w:szCs w:val="32"/>
          <w:lang w:bidi="ar"/>
        </w:rPr>
        <w:t>。</w:t>
      </w:r>
    </w:p>
    <w:p w14:paraId="674707FE">
      <w:pPr>
        <w:widowControl/>
        <w:snapToGrid w:val="0"/>
        <w:spacing w:line="560" w:lineRule="exact"/>
        <w:ind w:firstLine="640" w:firstLineChars="200"/>
        <w:jc w:val="left"/>
        <w:rPr>
          <w:rFonts w:hint="eastAsia" w:ascii="仿宋_GB2312" w:hAnsi="仿宋_GB2312" w:eastAsia="仿宋_GB2312" w:cs="仿宋_GB2312"/>
          <w:bCs/>
          <w:color w:val="000000"/>
          <w:kern w:val="0"/>
          <w:sz w:val="32"/>
          <w:szCs w:val="32"/>
          <w:lang w:bidi="ar"/>
        </w:rPr>
      </w:pPr>
      <w:r>
        <w:rPr>
          <w:rFonts w:hint="eastAsia" w:ascii="仿宋_GB2312" w:hAnsi="仿宋_GB2312" w:eastAsia="仿宋_GB2312" w:cs="仿宋_GB2312"/>
          <w:bCs/>
          <w:color w:val="000000"/>
          <w:kern w:val="0"/>
          <w:sz w:val="32"/>
          <w:szCs w:val="32"/>
          <w:lang w:bidi="ar"/>
        </w:rPr>
        <w:t>（一）要坚持对标看齐，以更高站位铸牢思想根基。突出原原本本学，鼓励联系实际学，改进传统灌输式教育；同时创新青年党员教育工作，以“干什么学什么、缺什么补什么”为原则，力求全面满足青年党员多层次、差异化的学习需求；积极探索实践“党小组+”模式，以“最小单元”凝聚“最强力量”，更好地组织、推动和指导党员的日常教育管理，压紧压实支部党建工作。</w:t>
      </w:r>
    </w:p>
    <w:p w14:paraId="5C6A2D7C">
      <w:pPr>
        <w:widowControl/>
        <w:snapToGrid w:val="0"/>
        <w:spacing w:line="560" w:lineRule="exact"/>
        <w:ind w:firstLine="640" w:firstLineChars="200"/>
        <w:jc w:val="left"/>
        <w:rPr>
          <w:rFonts w:hint="eastAsia" w:ascii="仿宋_GB2312" w:hAnsi="仿宋_GB2312" w:eastAsia="仿宋_GB2312" w:cs="仿宋_GB2312"/>
          <w:bCs/>
          <w:color w:val="000000"/>
          <w:kern w:val="0"/>
          <w:sz w:val="32"/>
          <w:szCs w:val="32"/>
          <w:lang w:bidi="ar"/>
        </w:rPr>
      </w:pPr>
      <w:r>
        <w:rPr>
          <w:rFonts w:hint="eastAsia" w:ascii="仿宋_GB2312" w:hAnsi="仿宋_GB2312" w:eastAsia="仿宋_GB2312" w:cs="仿宋_GB2312"/>
          <w:bCs/>
          <w:color w:val="000000"/>
          <w:kern w:val="0"/>
          <w:sz w:val="32"/>
          <w:szCs w:val="32"/>
          <w:lang w:bidi="ar"/>
        </w:rPr>
        <w:t>（二）要突出高质高效，以更强自觉优化服务保障。深入贯彻落实党政机关“习惯过紧日子”要求，算好机关运行成本“一本账”，稳步推进两个办公区的施工建设重点项目落实；建立常态化房产、车辆管理机制，规范程序、高效使用，严防国有资产流失；巩固提升节约型机关和节水型单位等各类示范创建成效，纵深推进公共机构绿色低碳转型。</w:t>
      </w:r>
    </w:p>
    <w:p w14:paraId="3E5289C9">
      <w:pPr>
        <w:widowControl/>
        <w:snapToGrid w:val="0"/>
        <w:spacing w:line="560" w:lineRule="exact"/>
        <w:ind w:firstLine="640" w:firstLineChars="200"/>
        <w:jc w:val="left"/>
        <w:rPr>
          <w:rFonts w:hint="eastAsia" w:ascii="仿宋_GB2312" w:hAnsi="仿宋_GB2312" w:eastAsia="仿宋_GB2312" w:cs="仿宋_GB2312"/>
          <w:bCs/>
          <w:color w:val="000000"/>
          <w:kern w:val="0"/>
          <w:sz w:val="32"/>
          <w:szCs w:val="32"/>
          <w:lang w:bidi="ar"/>
        </w:rPr>
      </w:pPr>
      <w:r>
        <w:rPr>
          <w:rFonts w:hint="eastAsia" w:ascii="仿宋_GB2312" w:hAnsi="仿宋_GB2312" w:eastAsia="仿宋_GB2312" w:cs="仿宋_GB2312"/>
          <w:bCs/>
          <w:color w:val="000000"/>
          <w:kern w:val="0"/>
          <w:sz w:val="32"/>
          <w:szCs w:val="32"/>
          <w:lang w:bidi="ar"/>
        </w:rPr>
        <w:t>（三）要坚持抓长抓常，以更严要求强化数据质控。结合党纪学习教育，坚持依法统计、依法治统，提速系列统计出版物产出与发布；统筹数据安全与共享利用，推动实现数据“一数一源、一源多用”；组织开展2025年居民健康与卫生服务监测以及现场数据质量控制工作；做好国家医疗健康信息互联互通标准化成熟度测评工作，推进卫生健康事业高质量发展。</w:t>
      </w:r>
    </w:p>
    <w:p w14:paraId="0AB7C30B">
      <w:pPr>
        <w:widowControl/>
        <w:snapToGrid w:val="0"/>
        <w:spacing w:line="560" w:lineRule="exact"/>
        <w:ind w:firstLine="640" w:firstLineChars="200"/>
        <w:jc w:val="left"/>
        <w:rPr>
          <w:rFonts w:hint="default" w:ascii="仿宋_GB2312" w:hAnsi="仿宋_GB2312" w:eastAsia="仿宋_GB2312" w:cs="仿宋_GB2312"/>
          <w:bCs/>
          <w:color w:val="000000"/>
          <w:kern w:val="0"/>
          <w:sz w:val="32"/>
          <w:szCs w:val="32"/>
          <w:lang w:val="en-US" w:eastAsia="zh-CN" w:bidi="ar"/>
        </w:rPr>
        <w:sectPr>
          <w:footerReference r:id="rId7" w:type="default"/>
          <w:pgSz w:w="11906" w:h="16839"/>
          <w:pgMar w:top="1431" w:right="1531" w:bottom="1276" w:left="1553" w:header="0" w:footer="1060" w:gutter="0"/>
          <w:pgNumType w:fmt="numberInDash" w:start="1"/>
          <w:cols w:space="720" w:num="1"/>
        </w:sectPr>
      </w:pPr>
      <w:r>
        <w:rPr>
          <w:rFonts w:hint="eastAsia" w:ascii="仿宋_GB2312" w:hAnsi="仿宋_GB2312" w:eastAsia="仿宋_GB2312" w:cs="仿宋_GB2312"/>
          <w:bCs/>
          <w:color w:val="000000"/>
          <w:kern w:val="0"/>
          <w:sz w:val="32"/>
          <w:szCs w:val="32"/>
          <w:lang w:bidi="ar"/>
        </w:rPr>
        <w:t>（四）要注重创新发展，以更实举措打造援外亮点。逐步探索整建制、团队化、专科化、梯次化、项目化派出方式，进一步创新我区援外医疗模式，壮大援外医疗队伍；继续加强与周边国家及地区的卫生交流与合作，严格审批、规范管理，实现外事工作健康有序地进行。</w:t>
      </w:r>
    </w:p>
    <w:p w14:paraId="156A38C8">
      <w:pPr>
        <w:pStyle w:val="4"/>
        <w:widowControl w:val="0"/>
        <w:tabs>
          <w:tab w:val="left" w:pos="4392"/>
        </w:tabs>
        <w:kinsoku/>
        <w:autoSpaceDE/>
        <w:autoSpaceDN/>
        <w:adjustRightInd/>
        <w:snapToGrid/>
        <w:spacing w:before="0" w:after="0" w:line="600" w:lineRule="exact"/>
        <w:ind w:firstLine="0" w:firstLineChars="0"/>
        <w:jc w:val="center"/>
        <w:textAlignment w:val="auto"/>
        <w:rPr>
          <w:rFonts w:hint="eastAsia" w:ascii="方正小标宋简体" w:hAnsi="方正小标宋简体" w:eastAsia="方正小标宋简体" w:cs="方正小标宋简体"/>
          <w:b w:val="0"/>
          <w:bCs w:val="0"/>
          <w:snapToGrid/>
          <w:kern w:val="2"/>
          <w:sz w:val="36"/>
          <w:szCs w:val="36"/>
          <w:highlight w:val="none"/>
          <w:lang w:eastAsia="zh-CN"/>
        </w:rPr>
      </w:pPr>
      <w:r>
        <w:rPr>
          <w:rFonts w:hint="eastAsia" w:ascii="方正小标宋简体" w:hAnsi="方正小标宋简体" w:eastAsia="方正小标宋简体" w:cs="方正小标宋简体"/>
          <w:b w:val="0"/>
          <w:bCs w:val="0"/>
          <w:snapToGrid/>
          <w:kern w:val="2"/>
          <w:sz w:val="36"/>
          <w:szCs w:val="36"/>
          <w:highlight w:val="none"/>
          <w:lang w:eastAsia="zh-CN"/>
        </w:rPr>
        <w:t>第二部分   202</w:t>
      </w:r>
      <w:r>
        <w:rPr>
          <w:rFonts w:hint="eastAsia" w:ascii="方正小标宋简体" w:hAnsi="方正小标宋简体" w:eastAsia="方正小标宋简体" w:cs="方正小标宋简体"/>
          <w:b w:val="0"/>
          <w:bCs w:val="0"/>
          <w:snapToGrid/>
          <w:kern w:val="2"/>
          <w:sz w:val="36"/>
          <w:szCs w:val="36"/>
          <w:highlight w:val="none"/>
          <w:lang w:val="en-US" w:eastAsia="zh-CN"/>
        </w:rPr>
        <w:t>5</w:t>
      </w:r>
      <w:r>
        <w:rPr>
          <w:rFonts w:hint="eastAsia" w:ascii="方正小标宋简体" w:hAnsi="方正小标宋简体" w:eastAsia="方正小标宋简体" w:cs="方正小标宋简体"/>
          <w:b w:val="0"/>
          <w:bCs w:val="0"/>
          <w:snapToGrid/>
          <w:kern w:val="2"/>
          <w:sz w:val="36"/>
          <w:szCs w:val="36"/>
          <w:highlight w:val="none"/>
          <w:lang w:eastAsia="zh-CN"/>
        </w:rPr>
        <w:t>年单位预算安排情况说明</w:t>
      </w:r>
    </w:p>
    <w:p w14:paraId="0D8DAA5E">
      <w:pPr>
        <w:pStyle w:val="6"/>
        <w:spacing w:line="309" w:lineRule="auto"/>
      </w:pPr>
    </w:p>
    <w:p w14:paraId="72C9342F">
      <w:pPr>
        <w:pStyle w:val="6"/>
        <w:spacing w:line="309" w:lineRule="auto"/>
      </w:pPr>
    </w:p>
    <w:p w14:paraId="56E95F0F">
      <w:pPr>
        <w:widowControl w:val="0"/>
        <w:numPr>
          <w:ilvl w:val="0"/>
          <w:numId w:val="0"/>
        </w:numPr>
        <w:kinsoku/>
        <w:autoSpaceDE/>
        <w:autoSpaceDN/>
        <w:adjustRightInd/>
        <w:snapToGrid/>
        <w:spacing w:line="600" w:lineRule="exact"/>
        <w:ind w:leftChars="203"/>
        <w:jc w:val="both"/>
        <w:textAlignment w:val="auto"/>
        <w:outlineLvl w:val="2"/>
        <w:rPr>
          <w:rFonts w:hint="eastAsia" w:ascii="Times New Roman" w:hAnsi="Times New Roman" w:eastAsia="黑体" w:cs="黑体"/>
          <w:snapToGrid/>
          <w:kern w:val="2"/>
          <w:sz w:val="32"/>
          <w:szCs w:val="36"/>
          <w:highlight w:val="none"/>
          <w:lang w:val="en-US" w:eastAsia="zh-CN"/>
        </w:rPr>
      </w:pPr>
      <w:r>
        <w:rPr>
          <w:rFonts w:hint="eastAsia" w:ascii="Times New Roman" w:hAnsi="Times New Roman" w:eastAsia="黑体" w:cs="黑体"/>
          <w:snapToGrid/>
          <w:kern w:val="2"/>
          <w:sz w:val="32"/>
          <w:szCs w:val="36"/>
          <w:highlight w:val="none"/>
          <w:lang w:val="en-US" w:eastAsia="zh-CN"/>
        </w:rPr>
        <w:t>一、预算收支总体情况说明</w:t>
      </w:r>
    </w:p>
    <w:p w14:paraId="4D6A8000">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内蒙古自治区卫生健康委员会综合保障中心单位收入预算为1899.44万元，比2024年预算增加948.33万元，增长99.72%。主要原因是我单位本年度强化全口径预算管理，将国家卫健委下拨的非财政拨款收入纳入本级财政预算。</w:t>
      </w:r>
    </w:p>
    <w:p w14:paraId="629AFD52">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支出预算预算为1899.44万元，比2024年预算增加948.33万元，增长99.72%。主要原因是我单位本年度强化全口径预算管理，将由国家卫健委下拨的非财政拨款收入纳入本级财政预算。</w:t>
      </w:r>
    </w:p>
    <w:p w14:paraId="3DF32AFB">
      <w:pPr>
        <w:widowControl/>
        <w:snapToGrid w:val="0"/>
        <w:spacing w:line="560" w:lineRule="exact"/>
        <w:ind w:firstLine="643" w:firstLineChars="200"/>
        <w:jc w:val="left"/>
        <w:rPr>
          <w:rFonts w:hint="eastAsia" w:ascii="楷体" w:hAnsi="楷体" w:eastAsia="楷体" w:cs="楷体"/>
          <w:b/>
          <w:bCs/>
          <w:snapToGrid/>
          <w:kern w:val="2"/>
          <w:sz w:val="32"/>
          <w:szCs w:val="32"/>
          <w:highlight w:val="none"/>
          <w:lang w:val="en-US" w:eastAsia="zh-CN" w:bidi="ar-SA"/>
        </w:rPr>
      </w:pPr>
      <w:r>
        <w:rPr>
          <w:rFonts w:hint="eastAsia" w:ascii="楷体" w:hAnsi="楷体" w:eastAsia="楷体" w:cs="楷体"/>
          <w:b/>
          <w:bCs/>
          <w:snapToGrid/>
          <w:kern w:val="2"/>
          <w:sz w:val="32"/>
          <w:szCs w:val="32"/>
          <w:highlight w:val="none"/>
          <w:lang w:val="en-US" w:eastAsia="zh-CN" w:bidi="ar-SA"/>
        </w:rPr>
        <w:t>（一）单位预算收入1899.44 万元，其中：</w:t>
      </w:r>
    </w:p>
    <w:p w14:paraId="1AD14C94">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1.本年收入合计1899.44万元。</w:t>
      </w:r>
    </w:p>
    <w:p w14:paraId="7791C586">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一般公共预算拨款收入993.54万元，比2024年预算增加42.43万元，增长4.47%。主要原因是该款项用于我单位职工工资福利支出以及机构运行工作经费，上一年末新增在编人员4人，退休1人，我单位职能、职责更加丰富，所需工作资金也随之增长。</w:t>
      </w:r>
    </w:p>
    <w:p w14:paraId="36E40755">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（2）政府性基金预算拨款收入</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CN"/>
        </w:rPr>
        <w:t xml:space="preserve">万元，与上年相比无变化，主要原因是不存在此项内容。 </w:t>
      </w:r>
    </w:p>
    <w:p w14:paraId="2E85CE10">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）国有资本经营预算拨款收入</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CN"/>
        </w:rPr>
        <w:t xml:space="preserve">万元，与上年相比无变化，主要原因是不存在此项内容。 </w:t>
      </w:r>
    </w:p>
    <w:p w14:paraId="5CEEA6F2">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）财政专户管理资金收入</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CN"/>
        </w:rPr>
        <w:t xml:space="preserve">万元，与上年相比无变化， 主要原因是不存在此项内容。 </w:t>
      </w:r>
    </w:p>
    <w:p w14:paraId="7A828BB4">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en-US" w:eastAsia="zh-CN"/>
        </w:rPr>
        <w:t>）事业收入905.9万元，比上年增加905.9万元，主要原因是我单位本年度强化全口径预算管理，将国家卫健委下拨的非财政拨款收入纳入本级财政预算。</w:t>
      </w:r>
    </w:p>
    <w:p w14:paraId="55311481">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en-US" w:eastAsia="zh-CN"/>
        </w:rPr>
        <w:t xml:space="preserve">）事业单位经营收入0万元，与上年相比无变化，主要原因是不存在此项内容。 </w:t>
      </w:r>
    </w:p>
    <w:p w14:paraId="2556457C">
      <w:pPr>
        <w:widowControl/>
        <w:snapToGrid w:val="0"/>
        <w:spacing w:line="560" w:lineRule="exact"/>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US" w:eastAsia="zh-CN"/>
        </w:rPr>
        <w:t>）上级补助收入</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CN"/>
        </w:rPr>
        <w:t>万元，与上年相比无变化，主要原因 是不存在此项内容。</w:t>
      </w:r>
    </w:p>
    <w:p w14:paraId="12415262">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）附属单位上缴收入</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CN"/>
        </w:rPr>
        <w:t xml:space="preserve">万元，与上年相比无变化，主要 原因是不存在此项内容。 </w:t>
      </w:r>
    </w:p>
    <w:p w14:paraId="2CC335CC">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en-US" w:eastAsia="zh-CN"/>
        </w:rPr>
        <w:t xml:space="preserve">）其他收入0万元，与上年相比无变化，主要原因是不存在此项内容。 </w:t>
      </w:r>
    </w:p>
    <w:p w14:paraId="7B7F8CD3">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2.上年结转0 万元，占比0%，与上年相比减少26.85万元。主要原因是该项目已于上一年度完工结算，本年无结转资金。</w:t>
      </w:r>
    </w:p>
    <w:p w14:paraId="1521D7A4">
      <w:pPr>
        <w:widowControl/>
        <w:snapToGrid w:val="0"/>
        <w:spacing w:line="560" w:lineRule="exact"/>
        <w:ind w:firstLine="643" w:firstLineChars="200"/>
        <w:jc w:val="left"/>
        <w:rPr>
          <w:rFonts w:hint="eastAsia" w:ascii="楷体" w:hAnsi="楷体" w:eastAsia="楷体" w:cs="楷体"/>
          <w:b/>
          <w:bCs/>
          <w:snapToGrid/>
          <w:kern w:val="2"/>
          <w:sz w:val="32"/>
          <w:szCs w:val="32"/>
          <w:highlight w:val="none"/>
          <w:lang w:val="en-US" w:eastAsia="zh-CN" w:bidi="ar-SA"/>
        </w:rPr>
      </w:pPr>
      <w:r>
        <w:rPr>
          <w:rFonts w:hint="eastAsia" w:ascii="楷体" w:hAnsi="楷体" w:eastAsia="楷体" w:cs="楷体"/>
          <w:b/>
          <w:bCs/>
          <w:snapToGrid/>
          <w:kern w:val="2"/>
          <w:sz w:val="32"/>
          <w:szCs w:val="32"/>
          <w:highlight w:val="none"/>
          <w:lang w:val="en-US" w:eastAsia="zh-CN" w:bidi="ar-SA"/>
        </w:rPr>
        <w:t>（二）单位支出预算总计1899.44万元，其中：</w:t>
      </w:r>
    </w:p>
    <w:p w14:paraId="112C5307">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1.社会保障和就业支出120.56 万元，主要用于社会和就业相关支出。比上年预算增加13.83万元，增长12.96%。主要原因是在职人员增加。</w:t>
      </w:r>
    </w:p>
    <w:p w14:paraId="15ACA117">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卫生健康支出1728.31万元。主要用于在职人员工资福利支出、机构运转以及对外医疗援助项目资金。与上年相比增加930.54万元，增加116.65%。主要原因是上一年末新增在编人员4人，退休1人，我单位职能、职责更加丰富，所需工作资金也随之增长，同时我单位本年度强化全口径预算管理，将国家卫健委下拨的非财政拨款收入纳入本级财政预算。</w:t>
      </w:r>
    </w:p>
    <w:p w14:paraId="44267F7F">
      <w:pPr>
        <w:widowControl/>
        <w:snapToGrid w:val="0"/>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3.住房保障支出50.58万元。主要用于人员住房公积金支出。比上年预算增加3.97万元，增长8.52%。主要原因是在职人员增加。</w:t>
      </w:r>
    </w:p>
    <w:p w14:paraId="5409C65A">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eastAsia="zh-CN"/>
        </w:rPr>
      </w:pPr>
      <w:r>
        <w:rPr>
          <w:rFonts w:hint="eastAsia" w:ascii="Times New Roman" w:hAnsi="Times New Roman" w:eastAsia="黑体" w:cs="黑体"/>
          <w:snapToGrid/>
          <w:kern w:val="2"/>
          <w:sz w:val="32"/>
          <w:szCs w:val="36"/>
          <w:highlight w:val="none"/>
          <w:lang w:eastAsia="zh-CN"/>
        </w:rPr>
        <w:t>二、收入预算情况说明</w:t>
      </w:r>
    </w:p>
    <w:p w14:paraId="7B2D640C">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内蒙古自治区卫生健康委员会综合保障中心2025年度收入预算1899.44万元，包括本年收入1899.44万元，上年结转结余0万元。其中：</w:t>
      </w:r>
    </w:p>
    <w:p w14:paraId="0C7AAD7D">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本年一般公共预算收入 993.54万元，占比52.31%；</w:t>
      </w:r>
    </w:p>
    <w:p w14:paraId="6C5A6BF9">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本年政府性基金预算收入0万元，占比 0%；</w:t>
      </w:r>
    </w:p>
    <w:p w14:paraId="24050052">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本年国有资本经营预算收入0万元，占比 0%；</w:t>
      </w:r>
    </w:p>
    <w:p w14:paraId="559205AF">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本年财政专户管理资金0万元，占比 0%%；</w:t>
      </w:r>
    </w:p>
    <w:p w14:paraId="08E02E8A">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本年事业收入905.9万元，占比47.69%；</w:t>
      </w:r>
    </w:p>
    <w:p w14:paraId="0444E607">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本年事业单位经营收入0万元，占比 0%%；</w:t>
      </w:r>
    </w:p>
    <w:p w14:paraId="49B31D4F">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本年上级补助收入0万元，占比 0%；</w:t>
      </w:r>
    </w:p>
    <w:p w14:paraId="751C23F8">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本年附属单位上缴收入0万元，占比 0%；</w:t>
      </w:r>
    </w:p>
    <w:p w14:paraId="7A1C61FB">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本年其他收入0万元，占比 0%；</w:t>
      </w:r>
    </w:p>
    <w:p w14:paraId="689B9E55">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上年结转结余的一般公共预算收入0万元，占比 0%；</w:t>
      </w:r>
    </w:p>
    <w:p w14:paraId="47C6564E">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上年结转结余的政府性基金预算收入0万元，占比 0%；</w:t>
      </w:r>
    </w:p>
    <w:p w14:paraId="0F42CA43">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上年结转结余的国有资本经营预算收入0万元，占比 0%；</w:t>
      </w:r>
    </w:p>
    <w:p w14:paraId="0545D9E8">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上年结转结余的财政专户管理资金0万元，占比 0%；</w:t>
      </w:r>
    </w:p>
    <w:p w14:paraId="4B7D7C07">
      <w:pPr>
        <w:pStyle w:val="6"/>
        <w:tabs>
          <w:tab w:val="left" w:pos="2671"/>
          <w:tab w:val="left" w:pos="5000"/>
          <w:tab w:val="left" w:pos="6190"/>
        </w:tabs>
        <w:spacing w:after="0" w:line="600" w:lineRule="exact"/>
        <w:ind w:firstLine="640" w:firstLineChars="200"/>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上年结转结余的单位资金0万元，占比 0%。</w:t>
      </w:r>
    </w:p>
    <w:p w14:paraId="3FC4CBAD">
      <w:pPr>
        <w:numPr>
          <w:ilvl w:val="0"/>
          <w:numId w:val="1"/>
        </w:numPr>
        <w:spacing w:before="171" w:line="334" w:lineRule="auto"/>
        <w:ind w:left="21" w:firstLine="628"/>
        <w:rPr>
          <w:rFonts w:hint="eastAsia" w:ascii="黑体" w:hAnsi="黑体" w:eastAsia="黑体" w:cs="黑体"/>
          <w:spacing w:val="9"/>
          <w:sz w:val="31"/>
          <w:szCs w:val="31"/>
          <w:lang w:val="en-US" w:eastAsia="zh-CN"/>
        </w:rPr>
      </w:pPr>
      <w:r>
        <w:rPr>
          <w:rFonts w:hint="eastAsia" w:ascii="黑体" w:hAnsi="黑体" w:eastAsia="黑体" w:cs="黑体"/>
          <w:spacing w:val="9"/>
          <w:sz w:val="31"/>
          <w:szCs w:val="31"/>
          <w:lang w:val="en-US" w:eastAsia="zh-CN"/>
        </w:rPr>
        <w:t>支出预算情况说明</w:t>
      </w:r>
    </w:p>
    <w:p w14:paraId="2DE43E2E">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Times New Roman" w:hAnsi="Times New Roman" w:eastAsia="仿宋_GB2312" w:cs="仿宋"/>
          <w:snapToGrid/>
          <w:kern w:val="2"/>
          <w:sz w:val="32"/>
          <w:szCs w:val="32"/>
          <w:highlight w:val="none"/>
          <w:lang w:val="en-US" w:eastAsia="zh-CN"/>
        </w:rPr>
      </w:pPr>
      <w:r>
        <w:rPr>
          <w:rFonts w:hint="eastAsia" w:ascii="Times New Roman" w:hAnsi="Times New Roman" w:eastAsia="仿宋_GB2312" w:cs="仿宋"/>
          <w:snapToGrid/>
          <w:kern w:val="2"/>
          <w:sz w:val="32"/>
          <w:szCs w:val="32"/>
          <w:highlight w:val="none"/>
          <w:lang w:val="en-US" w:eastAsia="zh-CN"/>
        </w:rPr>
        <w:t>我单位2025年度支出预算合计1899.44万元，其中：</w:t>
      </w:r>
    </w:p>
    <w:p w14:paraId="79C6E7B5">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Times New Roman" w:hAnsi="Times New Roman" w:eastAsia="仿宋_GB2312" w:cs="仿宋"/>
          <w:snapToGrid/>
          <w:kern w:val="2"/>
          <w:sz w:val="32"/>
          <w:szCs w:val="32"/>
          <w:highlight w:val="none"/>
          <w:lang w:val="en-US" w:eastAsia="zh-CN"/>
        </w:rPr>
      </w:pPr>
      <w:r>
        <w:rPr>
          <w:rFonts w:hint="eastAsia" w:ascii="Times New Roman" w:hAnsi="Times New Roman" w:eastAsia="仿宋_GB2312" w:cs="仿宋"/>
          <w:snapToGrid/>
          <w:kern w:val="2"/>
          <w:sz w:val="32"/>
          <w:szCs w:val="32"/>
          <w:highlight w:val="none"/>
          <w:lang w:val="en-US" w:eastAsia="zh-CN"/>
        </w:rPr>
        <w:t>基本支出683.54万元，占比35.99%；</w:t>
      </w:r>
    </w:p>
    <w:p w14:paraId="5A9E1FA8">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Times New Roman" w:hAnsi="Times New Roman" w:eastAsia="仿宋_GB2312" w:cs="仿宋"/>
          <w:snapToGrid/>
          <w:kern w:val="2"/>
          <w:sz w:val="32"/>
          <w:szCs w:val="32"/>
          <w:highlight w:val="none"/>
          <w:lang w:eastAsia="zh-CN"/>
        </w:rPr>
      </w:pPr>
      <w:r>
        <w:rPr>
          <w:rFonts w:hint="eastAsia" w:ascii="Times New Roman" w:hAnsi="Times New Roman" w:eastAsia="仿宋_GB2312" w:cs="仿宋"/>
          <w:snapToGrid/>
          <w:kern w:val="2"/>
          <w:sz w:val="32"/>
          <w:szCs w:val="32"/>
          <w:highlight w:val="none"/>
          <w:lang w:val="en-US" w:eastAsia="zh-CN"/>
        </w:rPr>
        <w:t>项目支出1215.9万元，占比64.01%；</w:t>
      </w:r>
      <w:r>
        <w:rPr>
          <w:rFonts w:hint="eastAsia" w:ascii="Times New Roman" w:hAnsi="Times New Roman" w:eastAsia="仿宋_GB2312" w:cs="仿宋"/>
          <w:snapToGrid/>
          <w:kern w:val="2"/>
          <w:sz w:val="32"/>
          <w:szCs w:val="32"/>
          <w:highlight w:val="none"/>
          <w:lang w:eastAsia="zh-CN"/>
        </w:rPr>
        <w:t xml:space="preserve"> </w:t>
      </w:r>
    </w:p>
    <w:p w14:paraId="4B643C9B">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Times New Roman" w:hAnsi="Times New Roman" w:eastAsia="仿宋_GB2312" w:cs="仿宋"/>
          <w:snapToGrid/>
          <w:kern w:val="2"/>
          <w:sz w:val="32"/>
          <w:szCs w:val="32"/>
          <w:highlight w:val="none"/>
          <w:lang w:eastAsia="zh-CN"/>
        </w:rPr>
      </w:pPr>
      <w:r>
        <w:rPr>
          <w:rFonts w:hint="eastAsia" w:ascii="Times New Roman" w:hAnsi="Times New Roman" w:eastAsia="仿宋_GB2312" w:cs="仿宋"/>
          <w:snapToGrid/>
          <w:kern w:val="2"/>
          <w:sz w:val="32"/>
          <w:szCs w:val="32"/>
          <w:highlight w:val="none"/>
          <w:lang w:eastAsia="zh-CN"/>
        </w:rPr>
        <w:t xml:space="preserve">事业单位经营支出 </w:t>
      </w:r>
      <w:r>
        <w:rPr>
          <w:rFonts w:hint="eastAsia" w:ascii="Times New Roman" w:hAnsi="Times New Roman" w:eastAsia="仿宋_GB2312" w:cs="仿宋"/>
          <w:snapToGrid/>
          <w:kern w:val="2"/>
          <w:sz w:val="32"/>
          <w:szCs w:val="32"/>
          <w:highlight w:val="none"/>
          <w:lang w:val="en-US" w:eastAsia="zh-CN"/>
        </w:rPr>
        <w:t>0</w:t>
      </w:r>
      <w:r>
        <w:rPr>
          <w:rFonts w:hint="eastAsia" w:ascii="Times New Roman" w:hAnsi="Times New Roman" w:eastAsia="仿宋_GB2312" w:cs="仿宋"/>
          <w:snapToGrid/>
          <w:kern w:val="2"/>
          <w:sz w:val="32"/>
          <w:szCs w:val="32"/>
          <w:highlight w:val="none"/>
          <w:lang w:eastAsia="zh-CN"/>
        </w:rPr>
        <w:t xml:space="preserve">万元，占 </w:t>
      </w:r>
      <w:r>
        <w:rPr>
          <w:rFonts w:hint="eastAsia" w:ascii="Times New Roman" w:hAnsi="Times New Roman" w:eastAsia="仿宋_GB2312" w:cs="仿宋"/>
          <w:snapToGrid/>
          <w:kern w:val="2"/>
          <w:sz w:val="32"/>
          <w:szCs w:val="32"/>
          <w:highlight w:val="none"/>
          <w:lang w:val="en-US" w:eastAsia="zh-CN"/>
        </w:rPr>
        <w:t>0</w:t>
      </w:r>
      <w:r>
        <w:rPr>
          <w:rFonts w:hint="eastAsia" w:ascii="Times New Roman" w:hAnsi="Times New Roman" w:eastAsia="仿宋_GB2312" w:cs="仿宋"/>
          <w:snapToGrid/>
          <w:kern w:val="2"/>
          <w:sz w:val="32"/>
          <w:szCs w:val="32"/>
          <w:highlight w:val="none"/>
          <w:lang w:eastAsia="zh-CN"/>
        </w:rPr>
        <w:t xml:space="preserve">%； </w:t>
      </w:r>
    </w:p>
    <w:p w14:paraId="754B95A6">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Times New Roman" w:hAnsi="Times New Roman" w:eastAsia="仿宋_GB2312" w:cs="仿宋"/>
          <w:snapToGrid/>
          <w:kern w:val="2"/>
          <w:sz w:val="32"/>
          <w:szCs w:val="32"/>
          <w:highlight w:val="none"/>
          <w:lang w:eastAsia="zh-CN"/>
        </w:rPr>
      </w:pPr>
      <w:r>
        <w:rPr>
          <w:rFonts w:hint="eastAsia" w:ascii="Times New Roman" w:hAnsi="Times New Roman" w:eastAsia="仿宋_GB2312" w:cs="仿宋"/>
          <w:snapToGrid/>
          <w:kern w:val="2"/>
          <w:sz w:val="32"/>
          <w:szCs w:val="32"/>
          <w:highlight w:val="none"/>
          <w:lang w:eastAsia="zh-CN"/>
        </w:rPr>
        <w:t xml:space="preserve">上缴上级支出 </w:t>
      </w:r>
      <w:r>
        <w:rPr>
          <w:rFonts w:hint="default" w:ascii="Times New Roman" w:hAnsi="Times New Roman" w:eastAsia="仿宋_GB2312" w:cs="仿宋"/>
          <w:snapToGrid/>
          <w:kern w:val="2"/>
          <w:sz w:val="32"/>
          <w:szCs w:val="32"/>
          <w:highlight w:val="none"/>
          <w:lang w:eastAsia="zh-CN"/>
        </w:rPr>
        <w:t xml:space="preserve">0 </w:t>
      </w:r>
      <w:r>
        <w:rPr>
          <w:rFonts w:hint="eastAsia" w:ascii="Times New Roman" w:hAnsi="Times New Roman" w:eastAsia="仿宋_GB2312" w:cs="仿宋"/>
          <w:snapToGrid/>
          <w:kern w:val="2"/>
          <w:sz w:val="32"/>
          <w:szCs w:val="32"/>
          <w:highlight w:val="none"/>
          <w:lang w:eastAsia="zh-CN"/>
        </w:rPr>
        <w:t xml:space="preserve">万元，占 </w:t>
      </w:r>
      <w:r>
        <w:rPr>
          <w:rFonts w:hint="default" w:ascii="Times New Roman" w:hAnsi="Times New Roman" w:eastAsia="仿宋_GB2312" w:cs="仿宋"/>
          <w:snapToGrid/>
          <w:kern w:val="2"/>
          <w:sz w:val="32"/>
          <w:szCs w:val="32"/>
          <w:highlight w:val="none"/>
          <w:lang w:eastAsia="zh-CN"/>
        </w:rPr>
        <w:t>0</w:t>
      </w:r>
      <w:r>
        <w:rPr>
          <w:rFonts w:hint="eastAsia" w:ascii="Times New Roman" w:hAnsi="Times New Roman" w:eastAsia="仿宋_GB2312" w:cs="仿宋"/>
          <w:snapToGrid/>
          <w:kern w:val="2"/>
          <w:sz w:val="32"/>
          <w:szCs w:val="32"/>
          <w:highlight w:val="none"/>
          <w:lang w:eastAsia="zh-CN"/>
        </w:rPr>
        <w:t>%；</w:t>
      </w:r>
    </w:p>
    <w:p w14:paraId="5B2BD738">
      <w:pPr>
        <w:pStyle w:val="6"/>
        <w:widowControl w:val="0"/>
        <w:tabs>
          <w:tab w:val="left" w:pos="2671"/>
          <w:tab w:val="left" w:pos="5000"/>
          <w:tab w:val="left" w:pos="6190"/>
        </w:tabs>
        <w:kinsoku/>
        <w:autoSpaceDE/>
        <w:autoSpaceDN/>
        <w:adjustRightInd/>
        <w:snapToGrid/>
        <w:spacing w:after="0" w:line="600" w:lineRule="exact"/>
        <w:ind w:firstLine="640" w:firstLineChars="200"/>
        <w:jc w:val="both"/>
        <w:textAlignment w:val="auto"/>
        <w:rPr>
          <w:rFonts w:hint="eastAsia" w:ascii="Times New Roman" w:hAnsi="Times New Roman" w:eastAsia="仿宋_GB2312" w:cs="仿宋"/>
          <w:snapToGrid/>
          <w:kern w:val="2"/>
          <w:sz w:val="32"/>
          <w:szCs w:val="32"/>
          <w:highlight w:val="none"/>
          <w:lang w:val="en-US" w:eastAsia="zh-CN"/>
        </w:rPr>
      </w:pPr>
      <w:r>
        <w:rPr>
          <w:rFonts w:hint="eastAsia" w:ascii="Times New Roman" w:hAnsi="Times New Roman" w:eastAsia="仿宋_GB2312" w:cs="仿宋"/>
          <w:snapToGrid/>
          <w:kern w:val="2"/>
          <w:sz w:val="32"/>
          <w:szCs w:val="32"/>
          <w:highlight w:val="none"/>
          <w:lang w:eastAsia="zh-CN"/>
        </w:rPr>
        <w:t xml:space="preserve"> 对附属单位补助支出 </w:t>
      </w:r>
      <w:r>
        <w:rPr>
          <w:rFonts w:hint="default" w:ascii="Times New Roman" w:hAnsi="Times New Roman" w:eastAsia="仿宋_GB2312" w:cs="仿宋"/>
          <w:snapToGrid/>
          <w:kern w:val="2"/>
          <w:sz w:val="32"/>
          <w:szCs w:val="32"/>
          <w:highlight w:val="none"/>
          <w:lang w:eastAsia="zh-CN"/>
        </w:rPr>
        <w:t xml:space="preserve">0 </w:t>
      </w:r>
      <w:r>
        <w:rPr>
          <w:rFonts w:hint="eastAsia" w:ascii="Times New Roman" w:hAnsi="Times New Roman" w:eastAsia="仿宋_GB2312" w:cs="仿宋"/>
          <w:snapToGrid/>
          <w:kern w:val="2"/>
          <w:sz w:val="32"/>
          <w:szCs w:val="32"/>
          <w:highlight w:val="none"/>
          <w:lang w:eastAsia="zh-CN"/>
        </w:rPr>
        <w:t xml:space="preserve">万元，占 </w:t>
      </w:r>
      <w:r>
        <w:rPr>
          <w:rFonts w:hint="default" w:ascii="Times New Roman" w:hAnsi="Times New Roman" w:eastAsia="仿宋_GB2312" w:cs="仿宋"/>
          <w:snapToGrid/>
          <w:kern w:val="2"/>
          <w:sz w:val="32"/>
          <w:szCs w:val="32"/>
          <w:highlight w:val="none"/>
          <w:lang w:eastAsia="zh-CN"/>
        </w:rPr>
        <w:t>0</w:t>
      </w:r>
      <w:r>
        <w:rPr>
          <w:rFonts w:hint="eastAsia" w:ascii="Times New Roman" w:hAnsi="Times New Roman" w:eastAsia="仿宋_GB2312" w:cs="仿宋"/>
          <w:snapToGrid/>
          <w:kern w:val="2"/>
          <w:sz w:val="32"/>
          <w:szCs w:val="32"/>
          <w:highlight w:val="none"/>
          <w:lang w:eastAsia="zh-CN"/>
        </w:rPr>
        <w:t>%。</w:t>
      </w:r>
    </w:p>
    <w:p w14:paraId="21A75730">
      <w:pPr>
        <w:widowControl w:val="0"/>
        <w:kinsoku/>
        <w:autoSpaceDE/>
        <w:autoSpaceDN/>
        <w:adjustRightInd/>
        <w:snapToGrid/>
        <w:spacing w:line="600" w:lineRule="exact"/>
        <w:ind w:left="6" w:leftChars="0" w:firstLine="633" w:firstLineChars="198"/>
        <w:jc w:val="both"/>
        <w:textAlignment w:val="auto"/>
        <w:outlineLvl w:val="2"/>
        <w:rPr>
          <w:rFonts w:hint="eastAsia" w:ascii="Times New Roman" w:hAnsi="Times New Roman" w:eastAsia="黑体" w:cs="黑体"/>
          <w:snapToGrid/>
          <w:kern w:val="2"/>
          <w:sz w:val="32"/>
          <w:szCs w:val="36"/>
          <w:highlight w:val="none"/>
          <w:lang w:eastAsia="zh-CN"/>
        </w:rPr>
      </w:pPr>
      <w:r>
        <w:rPr>
          <w:rFonts w:hint="eastAsia" w:ascii="Times New Roman" w:hAnsi="Times New Roman" w:eastAsia="黑体" w:cs="黑体"/>
          <w:snapToGrid/>
          <w:kern w:val="2"/>
          <w:sz w:val="32"/>
          <w:szCs w:val="36"/>
          <w:highlight w:val="none"/>
          <w:lang w:val="en-US" w:eastAsia="zh-CN"/>
        </w:rPr>
        <w:t>四、财政拨款收支预算总体情况说明</w:t>
      </w:r>
    </w:p>
    <w:p w14:paraId="567F4A02">
      <w:pPr>
        <w:spacing w:before="178" w:line="333" w:lineRule="auto"/>
        <w:ind w:left="3" w:firstLine="649"/>
        <w:rPr>
          <w:rFonts w:hint="eastAsia" w:ascii="仿宋_GB2312" w:hAnsi="仿宋_GB2312" w:eastAsia="仿宋_GB2312" w:cs="仿宋_GB2312"/>
          <w:snapToGrid/>
          <w:kern w:val="2"/>
          <w:sz w:val="32"/>
          <w:szCs w:val="32"/>
          <w:highlight w:val="none"/>
          <w:u w:val="singl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财政拨款收支预算993.54万元，比2024年预算增加42.43万元，增长4.47%。主要原因是该款项用于我单位职工工资福利支出以及机构运行工作经费，上一年末新增在编人员4人，退休1人，我单位职能、职责更加丰富，所需工作资金也随之增长</w:t>
      </w:r>
      <w:r>
        <w:rPr>
          <w:rFonts w:hint="eastAsia" w:ascii="Times New Roman" w:hAnsi="Times New Roman" w:eastAsia="仿宋_GB2312" w:cs="仿宋"/>
          <w:snapToGrid/>
          <w:kern w:val="2"/>
          <w:sz w:val="32"/>
          <w:szCs w:val="32"/>
          <w:highlight w:val="none"/>
          <w:lang w:val="en-US" w:eastAsia="zh-CN" w:bidi="ar-SA"/>
        </w:rPr>
        <w:t>。</w:t>
      </w:r>
    </w:p>
    <w:p w14:paraId="7D17587B">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val="en-US" w:eastAsia="zh-CN"/>
        </w:rPr>
      </w:pPr>
      <w:r>
        <w:rPr>
          <w:rFonts w:hint="eastAsia" w:ascii="Times New Roman" w:hAnsi="Times New Roman" w:eastAsia="黑体" w:cs="黑体"/>
          <w:snapToGrid/>
          <w:kern w:val="2"/>
          <w:sz w:val="32"/>
          <w:szCs w:val="36"/>
          <w:highlight w:val="none"/>
          <w:lang w:val="en-US" w:eastAsia="zh-CN"/>
        </w:rPr>
        <w:t>五、一般公共预算支出预算情况说明</w:t>
      </w:r>
    </w:p>
    <w:p w14:paraId="4A2CA9FF">
      <w:pPr>
        <w:spacing w:before="178" w:line="333" w:lineRule="auto"/>
        <w:ind w:left="3" w:firstLine="649"/>
        <w:rPr>
          <w:rFonts w:hint="eastAsia" w:ascii="Times New Roman" w:hAnsi="Times New Roman" w:eastAsia="仿宋_GB2312" w:cs="仿宋"/>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2025年我单位一般公共预算财政拨款支出预算993.54万元，比2024年预算增加42.43万元，增长4.47%。主要原因是该款项用于我单位职工工资福利支出以及机构运行工作经费，上一年末新增在编人员4人，退休1人，我单位职能、职责更加丰富，所需工作资金也随之增长。具体情况如下：</w:t>
      </w:r>
    </w:p>
    <w:p w14:paraId="110FE6E9">
      <w:pPr>
        <w:numPr>
          <w:ilvl w:val="0"/>
          <w:numId w:val="0"/>
        </w:numPr>
        <w:spacing w:before="178" w:line="333" w:lineRule="auto"/>
        <w:ind w:left="652" w:leftChars="0"/>
        <w:rPr>
          <w:rFonts w:hint="eastAsia" w:ascii="楷体" w:hAnsi="楷体" w:eastAsia="楷体" w:cs="楷体"/>
          <w:b/>
          <w:bCs/>
          <w:snapToGrid/>
          <w:kern w:val="2"/>
          <w:sz w:val="32"/>
          <w:szCs w:val="32"/>
          <w:highlight w:val="none"/>
          <w:lang w:val="en-US" w:eastAsia="zh-CN" w:bidi="ar-SA"/>
        </w:rPr>
      </w:pPr>
      <w:r>
        <w:rPr>
          <w:rFonts w:hint="eastAsia" w:ascii="楷体" w:hAnsi="楷体" w:eastAsia="楷体" w:cs="楷体"/>
          <w:b/>
          <w:bCs/>
          <w:snapToGrid/>
          <w:kern w:val="2"/>
          <w:sz w:val="32"/>
          <w:szCs w:val="32"/>
          <w:highlight w:val="none"/>
          <w:lang w:val="en-US" w:eastAsia="zh-CN" w:bidi="ar-SA"/>
        </w:rPr>
        <w:t>（一）社会保障和就业支出（类）</w:t>
      </w:r>
    </w:p>
    <w:p w14:paraId="0DB50FED">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社会保障和就业支出类年初预算数为120.56万元，比上年预算增加13.83万元，增长12.96%。主要原因是离退休人员和在职人员均有所增加。其中：</w:t>
      </w:r>
    </w:p>
    <w:p w14:paraId="46177C81">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1.行政事业单位养老支出（款）事业单位离退休（项）41.41万元，比上年预算增加7.13万元，增长20.8%。主要原因是离退休人员增加。</w:t>
      </w:r>
    </w:p>
    <w:p w14:paraId="4CC0E925">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2.行政事业单位养老支出（款）机关事业单位基本养老保险缴费（项）52.77万元，比上年预算增加4.47万元，增长9.26%。主要原因是在职人员增加。</w:t>
      </w:r>
    </w:p>
    <w:p w14:paraId="336E1D8C">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3.行政事业单位养老支出（款）机关事业单位职业年金缴费支出（项）26.38万元，比上年预算增加2.23万元，增加9.24%。主要原因是在职人员增加。</w:t>
      </w:r>
    </w:p>
    <w:p w14:paraId="6DD89227">
      <w:pPr>
        <w:numPr>
          <w:ilvl w:val="0"/>
          <w:numId w:val="0"/>
        </w:numPr>
        <w:spacing w:before="178" w:line="333" w:lineRule="auto"/>
        <w:ind w:left="652" w:leftChars="0"/>
        <w:rPr>
          <w:rFonts w:hint="eastAsia" w:ascii="楷体" w:hAnsi="楷体" w:eastAsia="楷体" w:cs="楷体"/>
          <w:b/>
          <w:bCs/>
          <w:snapToGrid/>
          <w:kern w:val="2"/>
          <w:sz w:val="32"/>
          <w:szCs w:val="32"/>
          <w:highlight w:val="none"/>
          <w:lang w:val="en-US" w:eastAsia="zh-CN" w:bidi="ar-SA"/>
        </w:rPr>
      </w:pPr>
      <w:r>
        <w:rPr>
          <w:rFonts w:hint="eastAsia" w:ascii="楷体" w:hAnsi="楷体" w:eastAsia="楷体" w:cs="楷体"/>
          <w:b/>
          <w:bCs/>
          <w:snapToGrid/>
          <w:kern w:val="2"/>
          <w:sz w:val="32"/>
          <w:szCs w:val="32"/>
          <w:highlight w:val="none"/>
          <w:lang w:val="en-US" w:eastAsia="zh-CN" w:bidi="ar-SA"/>
        </w:rPr>
        <w:t>（二）卫生健康支出（类）</w:t>
      </w:r>
    </w:p>
    <w:p w14:paraId="6C06EFE7">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卫生健康支出类年初预算数为822.41万元，比上年预算增加24.64万元，增长3.09%。主要原因是我我单位职能、职责更加丰富，上一年度新增在编人员4人，退休1人，所需人员经费和工作资金也随之增长。其中：</w:t>
      </w:r>
    </w:p>
    <w:p w14:paraId="750F47DE">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1.卫生健康管理事务（款）机关服务（项）468.26万元，比上年预算增加10.7万元，增长2.34%。主要原因是上一年度在编人员增加3人，我单位职能、职责更加丰富，所需工作资金也随之增长。</w:t>
      </w:r>
    </w:p>
    <w:p w14:paraId="73B61780">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2.卫生健康管理事务（款）其他卫生健康管理事务支出（项）25万元，比上年预算增加25万元。主要原因是我单位因工作需要本年度将购置一辆公务用车，使用其他卫生健康管理事务支出。</w:t>
      </w:r>
    </w:p>
    <w:p w14:paraId="339846BF">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3.计划生育事务（款）其他计划生育事务支出（项）285万元，比上年预算减少15万元，减少5%。主要原因是我单位严格落实“过紧日子”政策，不断提高财政资金利用率。</w:t>
      </w:r>
    </w:p>
    <w:p w14:paraId="77DE9C45">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4.行政事业单位医疗（款）44.15万元（事业单位医疗（项）23.28万元；公务员医疗补助（项）20.87万元）比上年预算增加3.94万元，增长9.8%。主要原因是在职人员增加。</w:t>
      </w:r>
    </w:p>
    <w:p w14:paraId="149DCF25">
      <w:pPr>
        <w:numPr>
          <w:ilvl w:val="0"/>
          <w:numId w:val="0"/>
        </w:numPr>
        <w:spacing w:before="178" w:line="333" w:lineRule="auto"/>
        <w:ind w:left="652" w:leftChars="0"/>
        <w:rPr>
          <w:rFonts w:hint="eastAsia" w:ascii="楷体" w:hAnsi="楷体" w:eastAsia="楷体" w:cs="楷体"/>
          <w:b/>
          <w:bCs/>
          <w:snapToGrid/>
          <w:kern w:val="2"/>
          <w:sz w:val="32"/>
          <w:szCs w:val="32"/>
          <w:highlight w:val="none"/>
          <w:lang w:val="en-US" w:eastAsia="zh-CN" w:bidi="ar-SA"/>
        </w:rPr>
      </w:pPr>
      <w:r>
        <w:rPr>
          <w:rFonts w:hint="eastAsia" w:ascii="楷体" w:hAnsi="楷体" w:eastAsia="楷体" w:cs="楷体"/>
          <w:b/>
          <w:bCs/>
          <w:snapToGrid/>
          <w:kern w:val="2"/>
          <w:sz w:val="32"/>
          <w:szCs w:val="32"/>
          <w:highlight w:val="none"/>
          <w:lang w:val="en-US" w:eastAsia="zh-CN" w:bidi="ar-SA"/>
        </w:rPr>
        <w:t>（三）住房保障支出（类）</w:t>
      </w:r>
    </w:p>
    <w:p w14:paraId="2E276044">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住房保障支出类年初预算数为50.58万元。比上年预算增加3.97万元，增长8.52%。主要原因是在职人员增加。其中：</w:t>
      </w:r>
    </w:p>
    <w:p w14:paraId="50537F92">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1.住房改革支出（款）住房公积金（项）50.58万元。比上年预算增加3.97万元，增长8.52%。主要原因是在职人员增加。</w:t>
      </w:r>
    </w:p>
    <w:p w14:paraId="2AE690B1">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val="en-US" w:eastAsia="zh-CN"/>
        </w:rPr>
      </w:pPr>
      <w:r>
        <w:rPr>
          <w:rFonts w:hint="eastAsia" w:ascii="Times New Roman" w:hAnsi="Times New Roman" w:eastAsia="黑体" w:cs="黑体"/>
          <w:snapToGrid/>
          <w:kern w:val="2"/>
          <w:sz w:val="32"/>
          <w:szCs w:val="36"/>
          <w:highlight w:val="none"/>
          <w:lang w:val="en-US" w:eastAsia="zh-CN"/>
        </w:rPr>
        <w:t>六、一般公共预算基本支出预算情况说明</w:t>
      </w:r>
    </w:p>
    <w:p w14:paraId="0AC3A8B2">
      <w:pPr>
        <w:pStyle w:val="6"/>
        <w:tabs>
          <w:tab w:val="left" w:pos="2671"/>
          <w:tab w:val="left" w:pos="5000"/>
          <w:tab w:val="left" w:pos="6190"/>
        </w:tabs>
        <w:spacing w:after="0" w:line="600" w:lineRule="exact"/>
        <w:ind w:firstLine="640" w:firstLineChars="200"/>
        <w:rPr>
          <w:rFonts w:hint="eastAsia" w:ascii="仿宋" w:hAnsi="仿宋" w:eastAsia="仿宋" w:cs="仿宋"/>
          <w:snapToGrid w:val="0"/>
          <w:color w:val="000000"/>
          <w:spacing w:val="5"/>
          <w:kern w:val="0"/>
          <w:sz w:val="31"/>
          <w:szCs w:val="31"/>
          <w:lang w:val="en-US" w:eastAsia="zh-CN" w:bidi="ar-SA"/>
        </w:rPr>
      </w:pPr>
      <w:r>
        <w:rPr>
          <w:rFonts w:hint="eastAsia" w:ascii="Times New Roman" w:hAnsi="Times New Roman" w:eastAsia="仿宋_GB2312" w:cs="仿宋"/>
          <w:sz w:val="32"/>
          <w:szCs w:val="32"/>
          <w:highlight w:val="none"/>
          <w:lang w:eastAsia="zh-CN"/>
        </w:rPr>
        <w:t>我单位</w:t>
      </w:r>
      <w:r>
        <w:rPr>
          <w:rFonts w:hint="eastAsia" w:ascii="Times New Roman" w:hAnsi="Times New Roman" w:eastAsia="仿宋_GB2312" w:cs="仿宋"/>
          <w:sz w:val="32"/>
          <w:szCs w:val="32"/>
          <w:highlight w:val="none"/>
          <w:lang w:val="en-US" w:eastAsia="zh-CN"/>
        </w:rPr>
        <w:t>2025年度</w:t>
      </w:r>
      <w:r>
        <w:rPr>
          <w:rFonts w:hint="eastAsia" w:ascii="Times New Roman" w:hAnsi="Times New Roman" w:eastAsia="仿宋_GB2312" w:cs="仿宋"/>
          <w:sz w:val="32"/>
          <w:szCs w:val="32"/>
          <w:highlight w:val="none"/>
        </w:rPr>
        <w:t>一般公共预算财政拨款基本支出预算</w:t>
      </w:r>
      <w:r>
        <w:rPr>
          <w:rFonts w:hint="eastAsia" w:ascii="仿宋" w:hAnsi="仿宋" w:eastAsia="仿宋" w:cs="仿宋"/>
          <w:snapToGrid w:val="0"/>
          <w:color w:val="000000"/>
          <w:spacing w:val="5"/>
          <w:kern w:val="0"/>
          <w:sz w:val="31"/>
          <w:szCs w:val="31"/>
          <w:lang w:val="en-US" w:eastAsia="zh-CN" w:bidi="ar-SA"/>
        </w:rPr>
        <w:t>683.54万元，其中：</w:t>
      </w:r>
    </w:p>
    <w:p w14:paraId="78CE1306">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78" w:line="334" w:lineRule="auto"/>
        <w:ind w:left="0" w:leftChars="0" w:firstLine="643" w:firstLineChars="200"/>
        <w:textAlignment w:val="baseline"/>
        <w:rPr>
          <w:rFonts w:hint="eastAsia" w:ascii="仿宋" w:hAnsi="仿宋" w:eastAsia="仿宋" w:cs="仿宋"/>
          <w:spacing w:val="5"/>
          <w:sz w:val="31"/>
          <w:szCs w:val="31"/>
          <w:lang w:val="en-US" w:eastAsia="zh-CN"/>
        </w:rPr>
      </w:pPr>
      <w:r>
        <w:rPr>
          <w:rFonts w:hint="eastAsia" w:ascii="Times New Roman" w:hAnsi="Times New Roman" w:eastAsia="仿宋_GB2312" w:cs="仿宋"/>
          <w:b/>
          <w:bCs/>
          <w:snapToGrid/>
          <w:kern w:val="2"/>
          <w:sz w:val="32"/>
          <w:szCs w:val="32"/>
          <w:highlight w:val="none"/>
          <w:lang w:val="en-US" w:eastAsia="zh-CN" w:bidi="ar-SA"/>
        </w:rPr>
        <w:t>人员经费645.05万元。</w:t>
      </w:r>
      <w:r>
        <w:rPr>
          <w:rFonts w:hint="eastAsia" w:ascii="仿宋" w:hAnsi="仿宋" w:eastAsia="仿宋" w:cs="仿宋"/>
          <w:spacing w:val="5"/>
          <w:sz w:val="31"/>
          <w:szCs w:val="31"/>
          <w:lang w:val="en-US" w:eastAsia="zh-CN"/>
        </w:rPr>
        <w:t>主要包括：基本工资159.88万元、津贴补贴75.32万元、奖金48.05万元、伙食补助费0万元、绩效工资144.33万元、住房公积金50.58万元、机关事业单位基本养老保险缴费52.77万元、职业年金缴费26.38万元、职工基本医疗保险缴费23.28万元、公务员医疗补助缴费20.87万元、其他社会保障缴费2.17万元、医疗费0万元、其他工资福利支出0万元、离休费0万元、退休费41.41万元、抚恤金0万元、奖励金0万元、其他对个人和家庭的补助0万元等。比上年预算增加55.68万元，增长8.4%。主要原因是在职人员和退休人数增加，绩效工资调标。</w:t>
      </w:r>
    </w:p>
    <w:p w14:paraId="79C7CE16">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78" w:line="334" w:lineRule="auto"/>
        <w:ind w:left="0" w:leftChars="0" w:firstLine="643" w:firstLineChars="200"/>
        <w:textAlignment w:val="baseline"/>
        <w:rPr>
          <w:rFonts w:hint="eastAsia" w:ascii="仿宋" w:hAnsi="仿宋" w:eastAsia="仿宋" w:cs="仿宋"/>
          <w:spacing w:val="5"/>
          <w:sz w:val="31"/>
          <w:szCs w:val="31"/>
          <w:lang w:val="en-US" w:eastAsia="zh-CN"/>
        </w:rPr>
      </w:pPr>
      <w:r>
        <w:rPr>
          <w:rFonts w:hint="eastAsia" w:ascii="Times New Roman" w:hAnsi="Times New Roman" w:eastAsia="仿宋_GB2312" w:cs="仿宋"/>
          <w:b/>
          <w:bCs/>
          <w:snapToGrid/>
          <w:kern w:val="2"/>
          <w:sz w:val="32"/>
          <w:szCs w:val="32"/>
          <w:highlight w:val="none"/>
          <w:lang w:val="en-US" w:eastAsia="zh-CN" w:bidi="ar-SA"/>
        </w:rPr>
        <w:t>公用经费38.5万元。</w:t>
      </w:r>
      <w:r>
        <w:rPr>
          <w:rFonts w:hint="eastAsia" w:ascii="仿宋" w:hAnsi="仿宋" w:eastAsia="仿宋" w:cs="仿宋"/>
          <w:spacing w:val="5"/>
          <w:sz w:val="31"/>
          <w:szCs w:val="31"/>
          <w:lang w:val="en-US" w:eastAsia="zh-CN"/>
        </w:rPr>
        <w:t>主要包括：办公费0.83万元、印刷费0万元、咨询费0万元、手续费0万元、水费0万元、电费0万元、邮电费2.5万元、取暖费0万元、物业管理费0万元、差旅费0万元、维修（护）费0万元、租赁费0万元、会议费0万元、培训费0万元、公务接待费0万元、专用材料费0万元、劳务费0万元、委托业务费0万元、工会经费13.43万元、福利费11.74万元、公务用车运行维护费7万元、其他交通费用0万元、其他商品和服务支出3万元、办公设备购置0万元、专用设备购置0万元、信息网络及软件购置更新0万元、其他资本性支出0万元等。比上年预算增加3.62万元，增长10.38%。主要原因是我单位职能职责更加丰富，</w:t>
      </w:r>
      <w:r>
        <w:rPr>
          <w:rFonts w:hint="eastAsia" w:ascii="仿宋_GB2312" w:hAnsi="仿宋_GB2312" w:eastAsia="仿宋_GB2312" w:cs="仿宋_GB2312"/>
          <w:bCs/>
          <w:color w:val="000000"/>
          <w:kern w:val="0"/>
          <w:sz w:val="32"/>
          <w:szCs w:val="32"/>
          <w:lang w:val="en-US" w:eastAsia="zh-CN" w:bidi="ar"/>
        </w:rPr>
        <w:t>上一年末新增在编人员4人，退休1人，</w:t>
      </w:r>
      <w:r>
        <w:rPr>
          <w:rFonts w:hint="eastAsia" w:ascii="仿宋" w:hAnsi="仿宋" w:eastAsia="仿宋" w:cs="仿宋"/>
          <w:spacing w:val="5"/>
          <w:sz w:val="31"/>
          <w:szCs w:val="31"/>
          <w:lang w:val="en-US" w:eastAsia="zh-CN"/>
        </w:rPr>
        <w:t>所需工会经费、福利费和工作资金也随之增长。</w:t>
      </w:r>
    </w:p>
    <w:p w14:paraId="71092106">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val="en-US" w:eastAsia="zh-CN"/>
        </w:rPr>
      </w:pPr>
      <w:r>
        <w:rPr>
          <w:rFonts w:hint="eastAsia" w:ascii="Times New Roman" w:hAnsi="Times New Roman" w:eastAsia="黑体" w:cs="黑体"/>
          <w:snapToGrid/>
          <w:kern w:val="2"/>
          <w:sz w:val="32"/>
          <w:szCs w:val="36"/>
          <w:highlight w:val="none"/>
          <w:lang w:val="en-US" w:eastAsia="zh-CN"/>
        </w:rPr>
        <w:t>七、一般公共预算“三公”经费支出预算情况说明</w:t>
      </w:r>
    </w:p>
    <w:p w14:paraId="05AB465A">
      <w:pPr>
        <w:pStyle w:val="6"/>
        <w:tabs>
          <w:tab w:val="left" w:pos="2671"/>
          <w:tab w:val="left" w:pos="5000"/>
          <w:tab w:val="left" w:pos="6190"/>
        </w:tabs>
        <w:spacing w:after="0" w:line="600" w:lineRule="exact"/>
        <w:ind w:firstLine="640" w:firstLineChars="200"/>
        <w:rPr>
          <w:rFonts w:hint="eastAsia" w:ascii="仿宋" w:hAnsi="仿宋" w:eastAsia="仿宋" w:cs="仿宋"/>
          <w:snapToGrid w:val="0"/>
          <w:color w:val="000000"/>
          <w:spacing w:val="5"/>
          <w:kern w:val="0"/>
          <w:sz w:val="31"/>
          <w:szCs w:val="31"/>
          <w:lang w:val="en-US" w:eastAsia="zh-CN" w:bidi="ar-SA"/>
        </w:rPr>
      </w:pPr>
      <w:r>
        <w:rPr>
          <w:rFonts w:hint="eastAsia" w:eastAsia="仿宋_GB2312"/>
          <w:sz w:val="32"/>
          <w:szCs w:val="32"/>
          <w:highlight w:val="none"/>
          <w:lang w:val="en-US" w:eastAsia="zh-CN"/>
        </w:rPr>
        <w:t>2025</w:t>
      </w:r>
      <w:r>
        <w:rPr>
          <w:rFonts w:eastAsia="仿宋_GB2312"/>
          <w:sz w:val="32"/>
          <w:szCs w:val="32"/>
          <w:highlight w:val="none"/>
        </w:rPr>
        <w:t>年度一般公共预算拨款安排的“三公”经费预算支出</w:t>
      </w:r>
      <w:r>
        <w:rPr>
          <w:rFonts w:hint="eastAsia" w:ascii="仿宋" w:hAnsi="仿宋" w:eastAsia="仿宋" w:cs="仿宋"/>
          <w:snapToGrid w:val="0"/>
          <w:color w:val="000000"/>
          <w:spacing w:val="5"/>
          <w:kern w:val="0"/>
          <w:sz w:val="31"/>
          <w:szCs w:val="31"/>
          <w:lang w:val="en-US" w:eastAsia="zh-CN" w:bidi="ar-SA"/>
        </w:rPr>
        <w:t>32万元，</w:t>
      </w:r>
      <w:r>
        <w:rPr>
          <w:rFonts w:eastAsia="仿宋_GB2312"/>
          <w:sz w:val="32"/>
          <w:szCs w:val="32"/>
          <w:highlight w:val="none"/>
        </w:rPr>
        <w:t>其中因公出国（境）费支出</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；公务用车购置及运行维护费支</w:t>
      </w:r>
      <w:r>
        <w:rPr>
          <w:rFonts w:hint="eastAsia" w:eastAsia="仿宋_GB2312"/>
          <w:sz w:val="32"/>
          <w:szCs w:val="32"/>
          <w:highlight w:val="none"/>
          <w:lang w:eastAsia="zh-CN"/>
        </w:rPr>
        <w:t>出</w:t>
      </w:r>
      <w:r>
        <w:rPr>
          <w:rFonts w:hint="eastAsia" w:eastAsia="仿宋_GB2312"/>
          <w:sz w:val="32"/>
          <w:szCs w:val="32"/>
          <w:highlight w:val="none"/>
          <w:lang w:val="en-US" w:eastAsia="zh-CN"/>
        </w:rPr>
        <w:t>32</w:t>
      </w:r>
      <w:r>
        <w:rPr>
          <w:rFonts w:eastAsia="仿宋_GB2312"/>
          <w:sz w:val="32"/>
          <w:szCs w:val="32"/>
          <w:highlight w:val="none"/>
        </w:rPr>
        <w:t>万元，占</w:t>
      </w:r>
      <w:r>
        <w:rPr>
          <w:rFonts w:hint="eastAsia" w:eastAsia="仿宋_GB2312"/>
          <w:sz w:val="32"/>
          <w:szCs w:val="32"/>
          <w:highlight w:val="none"/>
          <w:lang w:val="en-US" w:eastAsia="zh-CN"/>
        </w:rPr>
        <w:t>100</w:t>
      </w:r>
      <w:r>
        <w:rPr>
          <w:rFonts w:hint="eastAsia" w:ascii="仿宋_GB2312" w:hAnsi="仿宋_GB2312" w:eastAsia="仿宋_GB2312"/>
          <w:sz w:val="32"/>
          <w:szCs w:val="32"/>
          <w:highlight w:val="none"/>
          <w:lang w:eastAsia="zh-CN"/>
        </w:rPr>
        <w:t>%</w:t>
      </w:r>
      <w:r>
        <w:rPr>
          <w:rFonts w:eastAsia="仿宋_GB2312"/>
          <w:sz w:val="32"/>
          <w:szCs w:val="32"/>
          <w:highlight w:val="none"/>
        </w:rPr>
        <w:t>；公务接待费支出</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。具体情况如下：</w:t>
      </w:r>
    </w:p>
    <w:p w14:paraId="65C7C6D7">
      <w:pPr>
        <w:spacing w:before="178" w:line="333" w:lineRule="auto"/>
        <w:ind w:left="3" w:firstLine="649"/>
        <w:rPr>
          <w:rFonts w:hint="eastAsia" w:ascii="仿宋" w:hAnsi="仿宋" w:eastAsia="仿宋" w:cs="仿宋"/>
          <w:snapToGrid w:val="0"/>
          <w:color w:val="000000"/>
          <w:spacing w:val="5"/>
          <w:kern w:val="0"/>
          <w:sz w:val="31"/>
          <w:szCs w:val="31"/>
          <w:lang w:val="en-US" w:eastAsia="zh-CN" w:bidi="ar-SA"/>
        </w:rPr>
      </w:pPr>
      <w:r>
        <w:rPr>
          <w:rFonts w:hint="eastAsia" w:eastAsia="仿宋_GB2312"/>
          <w:sz w:val="32"/>
          <w:szCs w:val="32"/>
          <w:highlight w:val="none"/>
          <w:lang w:val="en-US" w:eastAsia="zh-CN"/>
        </w:rPr>
        <w:t>2025</w:t>
      </w:r>
      <w:r>
        <w:rPr>
          <w:rFonts w:eastAsia="仿宋_GB2312"/>
          <w:sz w:val="32"/>
          <w:szCs w:val="32"/>
          <w:highlight w:val="none"/>
        </w:rPr>
        <w:t>年度一般公共预算拨款安排的“三公”经费预算支出</w:t>
      </w:r>
      <w:r>
        <w:rPr>
          <w:rFonts w:hint="eastAsia" w:ascii="仿宋" w:hAnsi="仿宋" w:eastAsia="仿宋" w:cs="仿宋"/>
          <w:snapToGrid w:val="0"/>
          <w:color w:val="000000"/>
          <w:spacing w:val="5"/>
          <w:kern w:val="0"/>
          <w:sz w:val="31"/>
          <w:szCs w:val="31"/>
          <w:lang w:val="en-US" w:eastAsia="zh-CN" w:bidi="ar-SA"/>
        </w:rPr>
        <w:t>32万元，</w:t>
      </w:r>
      <w:r>
        <w:rPr>
          <w:rFonts w:hint="eastAsia" w:ascii="仿宋" w:hAnsi="仿宋" w:eastAsia="仿宋" w:cs="仿宋"/>
          <w:spacing w:val="5"/>
          <w:sz w:val="31"/>
          <w:szCs w:val="31"/>
          <w:lang w:val="en-US" w:eastAsia="zh-CN"/>
        </w:rPr>
        <w:t>比上年预算增加27万元，增长540%。</w:t>
      </w:r>
      <w:r>
        <w:rPr>
          <w:rFonts w:hint="eastAsia" w:ascii="仿宋" w:hAnsi="仿宋" w:eastAsia="仿宋" w:cs="仿宋"/>
          <w:snapToGrid w:val="0"/>
          <w:color w:val="000000"/>
          <w:spacing w:val="5"/>
          <w:kern w:val="0"/>
          <w:sz w:val="31"/>
          <w:szCs w:val="31"/>
          <w:lang w:val="en-US" w:eastAsia="zh-CN" w:bidi="ar-SA"/>
        </w:rPr>
        <w:t>其中：</w:t>
      </w:r>
    </w:p>
    <w:p w14:paraId="6A4E2380">
      <w:pPr>
        <w:pStyle w:val="6"/>
        <w:tabs>
          <w:tab w:val="left" w:pos="2671"/>
          <w:tab w:val="left" w:pos="5000"/>
          <w:tab w:val="left" w:pos="6190"/>
        </w:tabs>
        <w:spacing w:after="0" w:line="600" w:lineRule="exact"/>
        <w:ind w:firstLine="640" w:firstLineChars="200"/>
        <w:rPr>
          <w:rFonts w:hint="default" w:ascii="Times New Roman" w:hAnsi="Times New Roman" w:eastAsia="仿宋_GB2312" w:cs="Times New Roman"/>
          <w:snapToGrid/>
          <w:kern w:val="2"/>
          <w:sz w:val="32"/>
          <w:szCs w:val="32"/>
          <w:highlight w:val="none"/>
          <w:lang w:val="en-US" w:eastAsia="zh-CN" w:bidi="ar-SA"/>
        </w:rPr>
      </w:pPr>
      <w:r>
        <w:rPr>
          <w:rFonts w:hint="eastAsia" w:ascii="仿宋" w:hAnsi="仿宋" w:eastAsia="仿宋" w:cs="仿宋"/>
          <w:snapToGrid w:val="0"/>
          <w:color w:val="000000"/>
          <w:spacing w:val="5"/>
          <w:kern w:val="0"/>
          <w:sz w:val="31"/>
          <w:szCs w:val="31"/>
          <w:lang w:val="en-US" w:eastAsia="zh-CN" w:bidi="ar-SA"/>
        </w:rPr>
        <w:t>1</w:t>
      </w:r>
      <w:r>
        <w:rPr>
          <w:rFonts w:hint="eastAsia" w:ascii="Times New Roman" w:hAnsi="Times New Roman" w:eastAsia="仿宋_GB2312" w:cs="Times New Roman"/>
          <w:snapToGrid/>
          <w:kern w:val="2"/>
          <w:sz w:val="32"/>
          <w:szCs w:val="32"/>
          <w:highlight w:val="none"/>
          <w:lang w:val="en-US" w:eastAsia="zh-CN" w:bidi="ar-SA"/>
        </w:rPr>
        <w:t>、 因公出国（境）费用 0 万元。与上年预算数相同。</w:t>
      </w:r>
    </w:p>
    <w:p w14:paraId="314D7DF4">
      <w:pPr>
        <w:pStyle w:val="6"/>
        <w:tabs>
          <w:tab w:val="left" w:pos="2671"/>
          <w:tab w:val="left" w:pos="5000"/>
          <w:tab w:val="left" w:pos="6190"/>
        </w:tabs>
        <w:spacing w:after="0" w:line="600" w:lineRule="exact"/>
        <w:ind w:firstLine="640" w:firstLineChars="200"/>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2、公务用车购置及运行维护费32万元。其中：</w:t>
      </w:r>
    </w:p>
    <w:p w14:paraId="0193575B">
      <w:pPr>
        <w:spacing w:before="178" w:line="333" w:lineRule="auto"/>
        <w:ind w:left="3" w:firstLine="649"/>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（1）公务用车购置预算支出25万元，比上年预算增加25万元，增长0%。主要原因是我单位因工作需要本年度将购置一辆公务用车。</w:t>
      </w:r>
    </w:p>
    <w:p w14:paraId="2A0B2197">
      <w:pPr>
        <w:pStyle w:val="6"/>
        <w:tabs>
          <w:tab w:val="left" w:pos="2671"/>
          <w:tab w:val="left" w:pos="5000"/>
          <w:tab w:val="left" w:pos="6190"/>
        </w:tabs>
        <w:spacing w:after="0" w:line="600" w:lineRule="exact"/>
        <w:ind w:firstLine="640" w:firstLineChars="200"/>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（2）公务用车运行维护费预算支出7万元，比上年预算增加2万元，增长40%。主要原因是我单位因工作需要本年度将购置一辆公务用车，所需公务用车运行维护费也相应增加。</w:t>
      </w:r>
    </w:p>
    <w:p w14:paraId="24B3168E">
      <w:pPr>
        <w:spacing w:before="178" w:line="333" w:lineRule="auto"/>
        <w:ind w:left="3" w:firstLine="649"/>
      </w:pPr>
      <w:r>
        <w:rPr>
          <w:rFonts w:hint="eastAsia" w:ascii="Times New Roman" w:hAnsi="Times New Roman" w:eastAsia="仿宋_GB2312" w:cs="Times New Roman"/>
          <w:snapToGrid/>
          <w:kern w:val="2"/>
          <w:sz w:val="32"/>
          <w:szCs w:val="32"/>
          <w:highlight w:val="none"/>
          <w:lang w:val="en-US" w:eastAsia="zh-CN" w:bidi="ar-SA"/>
        </w:rPr>
        <w:t>3、公务接待费 0 万元。与上年预算数相同。</w:t>
      </w:r>
    </w:p>
    <w:p w14:paraId="20D54A5B">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eastAsia="zh-CN"/>
        </w:rPr>
      </w:pPr>
      <w:r>
        <w:rPr>
          <w:rFonts w:hint="eastAsia" w:ascii="Times New Roman" w:hAnsi="Times New Roman" w:eastAsia="黑体" w:cs="黑体"/>
          <w:snapToGrid/>
          <w:kern w:val="2"/>
          <w:sz w:val="32"/>
          <w:szCs w:val="36"/>
          <w:highlight w:val="none"/>
          <w:lang w:eastAsia="zh-CN"/>
        </w:rPr>
        <w:t>八、政府性基金预算财政拨款支出情况说明</w:t>
      </w:r>
    </w:p>
    <w:p w14:paraId="089B53EE">
      <w:pPr>
        <w:pStyle w:val="6"/>
        <w:tabs>
          <w:tab w:val="left" w:pos="2671"/>
          <w:tab w:val="left" w:pos="5000"/>
          <w:tab w:val="left" w:pos="6190"/>
        </w:tabs>
        <w:spacing w:after="0" w:line="600" w:lineRule="exact"/>
        <w:ind w:firstLine="640" w:firstLineChars="200"/>
        <w:rPr>
          <w:rFonts w:hint="eastAsia" w:ascii="Times New Roman" w:hAnsi="Times New Roman" w:eastAsia="仿宋_GB2312" w:cs="Times New Roman"/>
          <w:snapToGrid/>
          <w:kern w:val="2"/>
          <w:sz w:val="32"/>
          <w:szCs w:val="32"/>
          <w:highlight w:val="none"/>
          <w:lang w:val="en-US" w:eastAsia="en-US" w:bidi="ar-SA"/>
        </w:rPr>
      </w:pPr>
      <w:r>
        <w:rPr>
          <w:rFonts w:hint="eastAsia" w:ascii="Times New Roman" w:hAnsi="Times New Roman" w:eastAsia="仿宋_GB2312" w:cs="Times New Roman"/>
          <w:snapToGrid/>
          <w:kern w:val="2"/>
          <w:sz w:val="32"/>
          <w:szCs w:val="32"/>
          <w:highlight w:val="none"/>
          <w:lang w:val="en-US" w:eastAsia="zh-CN" w:bidi="ar-SA"/>
        </w:rPr>
        <w:t>2025年度政府性基金支出预算支出0万元，与上年相比无变化。主要原因是我中心无政府性基金财政拨款。</w:t>
      </w:r>
    </w:p>
    <w:p w14:paraId="6803F835">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val="en-US" w:eastAsia="zh-CN"/>
        </w:rPr>
      </w:pPr>
      <w:r>
        <w:rPr>
          <w:rFonts w:hint="eastAsia" w:ascii="Times New Roman" w:hAnsi="Times New Roman" w:eastAsia="黑体" w:cs="黑体"/>
          <w:snapToGrid/>
          <w:kern w:val="2"/>
          <w:sz w:val="32"/>
          <w:szCs w:val="36"/>
          <w:highlight w:val="none"/>
          <w:lang w:val="en-US" w:eastAsia="zh-CN"/>
        </w:rPr>
        <w:t>九</w:t>
      </w:r>
      <w:r>
        <w:rPr>
          <w:rFonts w:hint="eastAsia" w:ascii="Times New Roman" w:hAnsi="Times New Roman" w:eastAsia="黑体" w:cs="黑体"/>
          <w:snapToGrid/>
          <w:kern w:val="2"/>
          <w:sz w:val="32"/>
          <w:szCs w:val="36"/>
          <w:highlight w:val="none"/>
          <w:lang w:val="en-US" w:eastAsia="en-US"/>
        </w:rPr>
        <w:t>、</w:t>
      </w:r>
      <w:r>
        <w:rPr>
          <w:rFonts w:hint="eastAsia" w:ascii="Times New Roman" w:hAnsi="Times New Roman" w:eastAsia="黑体" w:cs="黑体"/>
          <w:snapToGrid/>
          <w:kern w:val="2"/>
          <w:sz w:val="32"/>
          <w:szCs w:val="36"/>
          <w:highlight w:val="none"/>
          <w:lang w:val="en-US" w:eastAsia="zh-CN"/>
        </w:rPr>
        <w:t>国有资本经营预算支出预算情况说明</w:t>
      </w:r>
    </w:p>
    <w:p w14:paraId="73BAB5FF">
      <w:pPr>
        <w:pStyle w:val="6"/>
        <w:tabs>
          <w:tab w:val="left" w:pos="2671"/>
          <w:tab w:val="left" w:pos="5000"/>
          <w:tab w:val="left" w:pos="6190"/>
        </w:tabs>
        <w:spacing w:after="0" w:line="600" w:lineRule="exact"/>
        <w:ind w:firstLine="640" w:firstLineChars="200"/>
        <w:rPr>
          <w:rFonts w:hint="eastAsia" w:ascii="Times New Roman" w:hAnsi="Times New Roman" w:eastAsia="仿宋_GB2312" w:cs="Times New Roman"/>
          <w:snapToGrid/>
          <w:kern w:val="2"/>
          <w:sz w:val="32"/>
          <w:szCs w:val="32"/>
          <w:highlight w:val="none"/>
          <w:lang w:val="en-US" w:eastAsia="zh-CN" w:bidi="ar-SA"/>
        </w:rPr>
      </w:pPr>
      <w:r>
        <w:rPr>
          <w:rFonts w:hint="eastAsia" w:ascii="Times New Roman" w:hAnsi="Times New Roman" w:eastAsia="仿宋_GB2312" w:cs="Times New Roman"/>
          <w:snapToGrid/>
          <w:kern w:val="2"/>
          <w:sz w:val="32"/>
          <w:szCs w:val="32"/>
          <w:highlight w:val="none"/>
          <w:lang w:val="en-US" w:eastAsia="zh-CN" w:bidi="ar-SA"/>
        </w:rPr>
        <w:t>2025年度国有资本经营预算支出0万元，与上年相比无变化。主要原因是我中心无国有资本经营预算支出。</w:t>
      </w:r>
    </w:p>
    <w:p w14:paraId="3B0888BC">
      <w:pPr>
        <w:pStyle w:val="2"/>
        <w:rPr>
          <w:rFonts w:hint="eastAsia"/>
          <w:lang w:val="en-US" w:eastAsia="zh-CN"/>
        </w:rPr>
      </w:pPr>
    </w:p>
    <w:p w14:paraId="38E92383">
      <w:pPr>
        <w:spacing w:before="181" w:line="226" w:lineRule="auto"/>
        <w:ind w:firstLine="652" w:firstLineChars="200"/>
        <w:rPr>
          <w:rFonts w:hint="eastAsia" w:ascii="黑体" w:hAnsi="黑体" w:eastAsia="黑体" w:cs="黑体"/>
          <w:snapToGrid w:val="0"/>
          <w:color w:val="000000"/>
          <w:spacing w:val="8"/>
          <w:kern w:val="0"/>
          <w:position w:val="18"/>
          <w:sz w:val="31"/>
          <w:szCs w:val="31"/>
          <w:lang w:val="en-US" w:eastAsia="zh-CN" w:bidi="ar-SA"/>
        </w:rPr>
      </w:pPr>
      <w:r>
        <w:rPr>
          <w:rFonts w:hint="eastAsia" w:ascii="黑体" w:hAnsi="黑体" w:eastAsia="黑体" w:cs="黑体"/>
          <w:snapToGrid w:val="0"/>
          <w:color w:val="000000"/>
          <w:spacing w:val="8"/>
          <w:kern w:val="0"/>
          <w:position w:val="18"/>
          <w:sz w:val="31"/>
          <w:szCs w:val="31"/>
          <w:lang w:val="en-US" w:eastAsia="zh-CN" w:bidi="ar-SA"/>
        </w:rPr>
        <w:t>十、项目支出预算情况说明</w:t>
      </w:r>
    </w:p>
    <w:p w14:paraId="7B9E2B87">
      <w:pPr>
        <w:spacing w:before="178" w:line="333" w:lineRule="auto"/>
        <w:ind w:left="3" w:firstLine="649"/>
      </w:pPr>
      <w:r>
        <w:rPr>
          <w:rFonts w:hint="eastAsia" w:ascii="仿宋" w:hAnsi="仿宋" w:eastAsia="仿宋" w:cs="仿宋"/>
          <w:snapToGrid w:val="0"/>
          <w:color w:val="000000"/>
          <w:spacing w:val="5"/>
          <w:kern w:val="0"/>
          <w:sz w:val="31"/>
          <w:szCs w:val="31"/>
          <w:lang w:val="en-US" w:eastAsia="zh-CN" w:bidi="ar-SA"/>
        </w:rPr>
        <w:t>2025年度预算安排项目共5个：1.项目名称为计划生育事业专项经费，类型为专项资金项目，该项目经费用于昭乌达办公区物业管理费和保障卫生健康委政府办公北区的正常运行。项目预算总金额为285万元，其中财政本年拨款金额285元，财政拨款结转结余0万元，财政专户管理资金0万元，单位资金0万元。2.项目名称为事业发展经费支出，类型为部门预算项目，该项目经费用于购买公务用车。项目预算总金额为25万元，其中财政本年拨款金额25万元，财政拨款结转结余0万元，财政专户管理资金0万元，单位资金0万元。3.项目名称为对外医疗援助项目，类型为部门预算项目，该项目经费用于对外医疗援助项目工作经费支出以及援外队员津补贴发放。项目预算总金额为899.9万元，其中财政本年拨款金额0万元，财政拨款结转结余0万元，财政专户管理资金0万元，单位资金899.9万元。4.项目名称为全国第七次卫生服务调查工作经费，类型为部门预算项目，该项目经费用于支付全国第七次卫生服务调查工作差旅费。项目预算总金额为4万元，其中财政本年拨款金额0万元，财政拨款结转结余0万元，财政专户管理资金0万元，单位资金4万元。5.项目名称为“互联互通”试点项目工作经费，类型为部门预算项目，该项目经费用于支付“互联互通”试点项目工作差旅费。项目预算总金额为2万元，其中财政本年拨款金额0万元，财政拨款结转结余0万元，财政专户管理资金0万元，单位资金2万元。</w:t>
      </w:r>
    </w:p>
    <w:p w14:paraId="267E1B05">
      <w:pPr>
        <w:pStyle w:val="6"/>
        <w:spacing w:line="308" w:lineRule="auto"/>
      </w:pPr>
    </w:p>
    <w:p w14:paraId="5702148E">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eastAsia="zh-CN"/>
        </w:rPr>
      </w:pPr>
      <w:r>
        <w:rPr>
          <w:rFonts w:hint="eastAsia" w:ascii="Times New Roman" w:hAnsi="Times New Roman" w:eastAsia="黑体" w:cs="黑体"/>
          <w:snapToGrid/>
          <w:kern w:val="2"/>
          <w:sz w:val="32"/>
          <w:szCs w:val="36"/>
          <w:highlight w:val="none"/>
          <w:lang w:eastAsia="zh-CN"/>
        </w:rPr>
        <w:t>十一、机关运行经费安排情况说明</w:t>
      </w:r>
    </w:p>
    <w:p w14:paraId="032E3A47">
      <w:pPr>
        <w:pStyle w:val="6"/>
        <w:tabs>
          <w:tab w:val="left" w:pos="2671"/>
          <w:tab w:val="left" w:pos="5000"/>
          <w:tab w:val="left" w:pos="6190"/>
        </w:tabs>
        <w:spacing w:after="0" w:line="600" w:lineRule="exact"/>
        <w:ind w:firstLine="640" w:firstLineChars="200"/>
        <w:rPr>
          <w:rFonts w:hint="eastAsia" w:ascii="仿宋" w:hAnsi="仿宋" w:eastAsia="仿宋" w:cs="仿宋"/>
          <w:snapToGrid w:val="0"/>
          <w:color w:val="000000"/>
          <w:spacing w:val="5"/>
          <w:kern w:val="0"/>
          <w:sz w:val="31"/>
          <w:szCs w:val="31"/>
          <w:lang w:val="en-US" w:eastAsia="zh-CN" w:bidi="ar-SA"/>
        </w:rPr>
      </w:pPr>
      <w:r>
        <w:rPr>
          <w:rFonts w:hint="eastAsia" w:ascii="仿宋" w:hAnsi="仿宋" w:eastAsia="仿宋" w:cs="仿宋"/>
          <w:snapToGrid w:val="0"/>
          <w:color w:val="000000"/>
          <w:spacing w:val="5"/>
          <w:kern w:val="0"/>
          <w:sz w:val="31"/>
          <w:szCs w:val="31"/>
          <w:lang w:val="en-US" w:eastAsia="zh-CN" w:bidi="ar-SA"/>
        </w:rPr>
        <w:t>机关运行经费，是指各单位的公用经费，包括办公及印刷费、 邮电费、差旅费、会议费、福利费、日常维修费、专业材料及一 般设备购置费、办公用房水电费、办公用房取暖费、办公用房物业管理费、公务用车运行维护费以及其他费用。</w:t>
      </w:r>
    </w:p>
    <w:p w14:paraId="0CAACEC9">
      <w:pPr>
        <w:pStyle w:val="6"/>
        <w:tabs>
          <w:tab w:val="left" w:pos="2671"/>
          <w:tab w:val="left" w:pos="5000"/>
          <w:tab w:val="left" w:pos="6190"/>
        </w:tabs>
        <w:spacing w:after="0" w:line="600" w:lineRule="exact"/>
        <w:ind w:firstLine="640" w:firstLineChars="200"/>
        <w:rPr>
          <w:rFonts w:hint="eastAsia" w:ascii="仿宋" w:hAnsi="仿宋" w:eastAsia="仿宋" w:cs="仿宋"/>
          <w:snapToGrid w:val="0"/>
          <w:color w:val="000000"/>
          <w:spacing w:val="5"/>
          <w:kern w:val="0"/>
          <w:sz w:val="31"/>
          <w:szCs w:val="31"/>
          <w:lang w:val="en-US" w:eastAsia="zh-CN" w:bidi="ar-SA"/>
        </w:rPr>
      </w:pPr>
      <w:r>
        <w:rPr>
          <w:rFonts w:hint="eastAsia" w:ascii="仿宋" w:hAnsi="仿宋" w:eastAsia="仿宋" w:cs="仿宋"/>
          <w:snapToGrid w:val="0"/>
          <w:color w:val="000000"/>
          <w:spacing w:val="5"/>
          <w:kern w:val="0"/>
          <w:sz w:val="31"/>
          <w:szCs w:val="31"/>
          <w:lang w:val="en-US" w:eastAsia="zh-CN" w:bidi="ar-SA"/>
        </w:rPr>
        <w:t>2025年，我中心机关运行经费财政拨款预算38.5万元，比上年预算增加3.62万元，增长10.38%。主要原因是我我单位职能、职责更加丰富，上一年度新增在编人员4人，退休1人，所需工作资金也随之增长。</w:t>
      </w:r>
    </w:p>
    <w:p w14:paraId="7565EF1D">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eastAsia="zh-CN"/>
        </w:rPr>
      </w:pPr>
      <w:r>
        <w:rPr>
          <w:rFonts w:hint="eastAsia" w:ascii="Times New Roman" w:hAnsi="Times New Roman" w:eastAsia="黑体" w:cs="黑体"/>
          <w:snapToGrid/>
          <w:kern w:val="2"/>
          <w:sz w:val="32"/>
          <w:szCs w:val="36"/>
          <w:highlight w:val="none"/>
          <w:lang w:eastAsia="zh-CN"/>
        </w:rPr>
        <w:t>十二、政府采购预算情况说明</w:t>
      </w:r>
    </w:p>
    <w:p w14:paraId="7C12AF5B">
      <w:pPr>
        <w:spacing w:before="178" w:line="333" w:lineRule="auto"/>
        <w:ind w:left="3" w:firstLine="649"/>
        <w:rPr>
          <w:rFonts w:hint="eastAsia" w:ascii="仿宋" w:hAnsi="仿宋" w:eastAsia="仿宋" w:cs="仿宋"/>
          <w:snapToGrid w:val="0"/>
          <w:color w:val="000000"/>
          <w:spacing w:val="5"/>
          <w:kern w:val="0"/>
          <w:sz w:val="31"/>
          <w:szCs w:val="31"/>
          <w:lang w:val="en-US" w:eastAsia="zh-CN" w:bidi="ar-SA"/>
        </w:rPr>
      </w:pPr>
      <w:r>
        <w:rPr>
          <w:rFonts w:hint="eastAsia" w:eastAsia="仿宋_GB2312"/>
          <w:sz w:val="32"/>
          <w:szCs w:val="32"/>
          <w:highlight w:val="none"/>
          <w:lang w:val="en-US" w:eastAsia="zh-CN"/>
        </w:rPr>
        <w:t>2025</w:t>
      </w:r>
      <w:r>
        <w:rPr>
          <w:rFonts w:eastAsia="仿宋_GB2312"/>
          <w:sz w:val="32"/>
          <w:szCs w:val="32"/>
          <w:highlight w:val="none"/>
        </w:rPr>
        <w:t>年度政府采购支出预算总额</w:t>
      </w:r>
      <w:r>
        <w:rPr>
          <w:rFonts w:hint="eastAsia" w:ascii="仿宋" w:hAnsi="仿宋" w:eastAsia="仿宋" w:cs="仿宋"/>
          <w:snapToGrid w:val="0"/>
          <w:color w:val="000000"/>
          <w:spacing w:val="5"/>
          <w:kern w:val="0"/>
          <w:sz w:val="31"/>
          <w:szCs w:val="31"/>
          <w:lang w:val="en-US" w:eastAsia="zh-CN" w:bidi="ar-SA"/>
        </w:rPr>
        <w:t>131.4万元，</w:t>
      </w:r>
      <w:r>
        <w:rPr>
          <w:rFonts w:hint="eastAsia" w:ascii="仿宋" w:hAnsi="仿宋" w:eastAsia="仿宋" w:cs="仿宋"/>
          <w:spacing w:val="5"/>
          <w:sz w:val="31"/>
          <w:szCs w:val="31"/>
          <w:lang w:val="en-US" w:eastAsia="zh-CN"/>
        </w:rPr>
        <w:t>比上年预算增加31.16万元，增长31.09%。主要原因是本年因工作需要拟新购一辆公务用车。</w:t>
      </w:r>
      <w:r>
        <w:rPr>
          <w:rFonts w:hint="eastAsia" w:ascii="仿宋" w:hAnsi="仿宋" w:eastAsia="仿宋" w:cs="仿宋"/>
          <w:snapToGrid w:val="0"/>
          <w:color w:val="000000"/>
          <w:spacing w:val="5"/>
          <w:kern w:val="0"/>
          <w:sz w:val="31"/>
          <w:szCs w:val="31"/>
          <w:lang w:val="en-US" w:eastAsia="zh-CN" w:bidi="ar-SA"/>
        </w:rPr>
        <w:t>其中：拟采购货物支出38.5万元，拟采购服务支出92.9万元，拟采购工程支出 0 万元。</w:t>
      </w:r>
    </w:p>
    <w:p w14:paraId="179F78F1">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eastAsia="zh-CN"/>
        </w:rPr>
      </w:pPr>
      <w:r>
        <w:rPr>
          <w:rFonts w:hint="eastAsia" w:ascii="Times New Roman" w:hAnsi="Times New Roman" w:eastAsia="黑体" w:cs="黑体"/>
          <w:snapToGrid/>
          <w:kern w:val="2"/>
          <w:sz w:val="32"/>
          <w:szCs w:val="36"/>
          <w:highlight w:val="none"/>
          <w:lang w:eastAsia="zh-CN"/>
        </w:rPr>
        <w:t>十三、国有资产占有使用情况说明</w:t>
      </w:r>
    </w:p>
    <w:p w14:paraId="44059D97">
      <w:pPr>
        <w:spacing w:line="600" w:lineRule="exact"/>
        <w:ind w:firstLine="640" w:firstLineChars="200"/>
        <w:rPr>
          <w:rFonts w:eastAsia="仿宋_GB2312"/>
          <w:sz w:val="32"/>
          <w:szCs w:val="32"/>
          <w:highlight w:val="none"/>
        </w:rPr>
      </w:pPr>
      <w:r>
        <w:rPr>
          <w:rFonts w:hint="eastAsia" w:ascii="仿宋" w:hAnsi="仿宋" w:eastAsia="仿宋" w:cs="仿宋"/>
          <w:snapToGrid w:val="0"/>
          <w:color w:val="000000"/>
          <w:spacing w:val="5"/>
          <w:kern w:val="0"/>
          <w:sz w:val="31"/>
          <w:szCs w:val="31"/>
          <w:lang w:val="en-US" w:eastAsia="zh-CN" w:bidi="ar-SA"/>
        </w:rPr>
        <w:t>截至 2024年末，共有车辆 1辆， 其中：</w:t>
      </w:r>
      <w:r>
        <w:rPr>
          <w:rFonts w:eastAsia="仿宋_GB2312"/>
          <w:sz w:val="32"/>
          <w:szCs w:val="32"/>
          <w:highlight w:val="none"/>
        </w:rPr>
        <w:t>其中，一般公务用车</w:t>
      </w:r>
      <w:r>
        <w:rPr>
          <w:rFonts w:hint="eastAsia" w:eastAsia="仿宋_GB2312"/>
          <w:sz w:val="32"/>
          <w:szCs w:val="32"/>
          <w:highlight w:val="none"/>
          <w:lang w:val="en-US" w:eastAsia="zh-CN"/>
        </w:rPr>
        <w:t>0</w:t>
      </w:r>
      <w:r>
        <w:rPr>
          <w:rFonts w:eastAsia="仿宋_GB2312"/>
          <w:sz w:val="32"/>
          <w:szCs w:val="32"/>
          <w:highlight w:val="none"/>
        </w:rPr>
        <w:t>辆、执法执勤用车</w:t>
      </w:r>
      <w:r>
        <w:rPr>
          <w:rFonts w:hint="eastAsia" w:eastAsia="仿宋_GB2312"/>
          <w:sz w:val="32"/>
          <w:szCs w:val="32"/>
          <w:highlight w:val="none"/>
          <w:lang w:val="en-US" w:eastAsia="zh-CN"/>
        </w:rPr>
        <w:t>0</w:t>
      </w:r>
      <w:r>
        <w:rPr>
          <w:rFonts w:eastAsia="仿宋_GB2312"/>
          <w:sz w:val="32"/>
          <w:szCs w:val="32"/>
          <w:highlight w:val="none"/>
        </w:rPr>
        <w:t>辆、特种专业技术用车</w:t>
      </w:r>
      <w:r>
        <w:rPr>
          <w:rFonts w:hint="eastAsia" w:eastAsia="仿宋_GB2312"/>
          <w:sz w:val="32"/>
          <w:szCs w:val="32"/>
          <w:highlight w:val="none"/>
          <w:lang w:val="en-US" w:eastAsia="zh-CN"/>
        </w:rPr>
        <w:t>0</w:t>
      </w:r>
      <w:r>
        <w:rPr>
          <w:rFonts w:eastAsia="仿宋_GB2312"/>
          <w:sz w:val="32"/>
          <w:szCs w:val="32"/>
          <w:highlight w:val="none"/>
        </w:rPr>
        <w:t>辆、业务用车</w:t>
      </w:r>
      <w:r>
        <w:rPr>
          <w:rFonts w:hint="eastAsia" w:eastAsia="仿宋_GB2312"/>
          <w:sz w:val="32"/>
          <w:szCs w:val="32"/>
          <w:highlight w:val="none"/>
          <w:lang w:val="en-US" w:eastAsia="zh-CN"/>
        </w:rPr>
        <w:t>0</w:t>
      </w:r>
      <w:r>
        <w:rPr>
          <w:rFonts w:eastAsia="仿宋_GB2312"/>
          <w:sz w:val="32"/>
          <w:szCs w:val="32"/>
          <w:highlight w:val="none"/>
        </w:rPr>
        <w:t>辆、其他用车</w:t>
      </w:r>
      <w:r>
        <w:rPr>
          <w:rFonts w:hint="eastAsia" w:eastAsia="仿宋_GB2312"/>
          <w:sz w:val="32"/>
          <w:szCs w:val="32"/>
          <w:highlight w:val="none"/>
          <w:lang w:val="en-US" w:eastAsia="zh-CN"/>
        </w:rPr>
        <w:t>1</w:t>
      </w:r>
      <w:r>
        <w:rPr>
          <w:rFonts w:eastAsia="仿宋_GB2312"/>
          <w:sz w:val="32"/>
          <w:szCs w:val="32"/>
          <w:highlight w:val="none"/>
        </w:rPr>
        <w:t>辆等。单价50万元（含）以上的通用设备</w:t>
      </w:r>
      <w:r>
        <w:rPr>
          <w:rFonts w:hint="eastAsia" w:eastAsia="仿宋_GB2312"/>
          <w:sz w:val="32"/>
          <w:szCs w:val="32"/>
          <w:highlight w:val="none"/>
          <w:lang w:val="en-US" w:eastAsia="zh-CN"/>
        </w:rPr>
        <w:t>0</w:t>
      </w:r>
      <w:r>
        <w:rPr>
          <w:rFonts w:eastAsia="仿宋_GB2312"/>
          <w:sz w:val="32"/>
          <w:szCs w:val="32"/>
          <w:highlight w:val="none"/>
        </w:rPr>
        <w:t>台（套），单价100万元（含）以上的专用设备</w:t>
      </w:r>
      <w:r>
        <w:rPr>
          <w:rFonts w:hint="eastAsia" w:eastAsia="仿宋_GB2312"/>
          <w:sz w:val="32"/>
          <w:szCs w:val="32"/>
          <w:highlight w:val="none"/>
          <w:lang w:val="en-US" w:eastAsia="zh-CN"/>
        </w:rPr>
        <w:t>0</w:t>
      </w:r>
      <w:r>
        <w:rPr>
          <w:rFonts w:eastAsia="仿宋_GB2312"/>
          <w:sz w:val="32"/>
          <w:szCs w:val="32"/>
          <w:highlight w:val="none"/>
        </w:rPr>
        <w:t>台（套）。</w:t>
      </w:r>
    </w:p>
    <w:p w14:paraId="4472252F">
      <w:pPr>
        <w:widowControl w:val="0"/>
        <w:kinsoku/>
        <w:autoSpaceDE/>
        <w:autoSpaceDN/>
        <w:adjustRightInd/>
        <w:snapToGrid/>
        <w:spacing w:line="600" w:lineRule="exact"/>
        <w:ind w:left="0" w:leftChars="0" w:firstLine="640" w:firstLineChars="200"/>
        <w:jc w:val="both"/>
        <w:textAlignment w:val="auto"/>
        <w:outlineLvl w:val="2"/>
        <w:rPr>
          <w:rFonts w:hint="eastAsia" w:ascii="Times New Roman" w:hAnsi="Times New Roman" w:eastAsia="黑体" w:cs="黑体"/>
          <w:snapToGrid/>
          <w:kern w:val="2"/>
          <w:sz w:val="32"/>
          <w:szCs w:val="36"/>
          <w:highlight w:val="none"/>
          <w:lang w:eastAsia="zh-CN"/>
        </w:rPr>
      </w:pPr>
      <w:r>
        <w:rPr>
          <w:rFonts w:hint="eastAsia" w:ascii="Times New Roman" w:hAnsi="Times New Roman" w:eastAsia="黑体" w:cs="黑体"/>
          <w:snapToGrid/>
          <w:kern w:val="2"/>
          <w:sz w:val="32"/>
          <w:szCs w:val="36"/>
          <w:highlight w:val="none"/>
          <w:lang w:eastAsia="zh-CN"/>
        </w:rPr>
        <w:t>十四、项目支出绩效目标情况说明</w:t>
      </w:r>
    </w:p>
    <w:p w14:paraId="0E63D665">
      <w:pPr>
        <w:spacing w:line="600" w:lineRule="exact"/>
        <w:ind w:firstLine="640" w:firstLineChars="200"/>
        <w:rPr>
          <w:rFonts w:eastAsia="仿宋_GB2312" w:cstheme="minorBidi"/>
          <w:sz w:val="32"/>
          <w:szCs w:val="32"/>
          <w:highlight w:val="none"/>
        </w:rPr>
      </w:pPr>
      <w:r>
        <w:rPr>
          <w:rFonts w:hint="eastAsia" w:eastAsia="仿宋_GB2312"/>
          <w:sz w:val="32"/>
          <w:szCs w:val="32"/>
          <w:highlight w:val="none"/>
          <w:lang w:val="en-US" w:eastAsia="zh-CN"/>
        </w:rPr>
        <w:t>2025</w:t>
      </w:r>
      <w:r>
        <w:rPr>
          <w:rFonts w:eastAsia="仿宋_GB2312"/>
          <w:sz w:val="32"/>
          <w:szCs w:val="32"/>
          <w:highlight w:val="none"/>
        </w:rPr>
        <w:t>年度</w:t>
      </w:r>
      <w:r>
        <w:rPr>
          <w:rFonts w:hint="eastAsia" w:eastAsia="仿宋_GB2312" w:cstheme="minorBidi"/>
          <w:sz w:val="32"/>
          <w:szCs w:val="32"/>
          <w:highlight w:val="none"/>
        </w:rPr>
        <w:t>填报绩效目标的预算项目</w:t>
      </w:r>
      <w:r>
        <w:rPr>
          <w:rFonts w:hint="eastAsia" w:ascii="仿宋" w:hAnsi="仿宋" w:eastAsia="仿宋" w:cs="仿宋"/>
          <w:snapToGrid w:val="0"/>
          <w:color w:val="000000"/>
          <w:spacing w:val="5"/>
          <w:kern w:val="0"/>
          <w:sz w:val="31"/>
          <w:szCs w:val="31"/>
          <w:lang w:val="en-US" w:eastAsia="zh-CN" w:bidi="ar-SA"/>
        </w:rPr>
        <w:t>5个，公开项目5个，公开项目占全部预算项目的100%。公开填报绩效目标的项目支出预算1215.9万元，占全部项目支出预算的 100%</w:t>
      </w:r>
      <w:r>
        <w:rPr>
          <w:rFonts w:hint="eastAsia" w:eastAsia="仿宋_GB2312" w:cstheme="minorBidi"/>
          <w:sz w:val="32"/>
          <w:szCs w:val="32"/>
          <w:highlight w:val="none"/>
        </w:rPr>
        <w:t xml:space="preserve">。 </w:t>
      </w:r>
    </w:p>
    <w:p w14:paraId="0876F067">
      <w:pPr>
        <w:spacing w:before="184" w:line="333" w:lineRule="auto"/>
        <w:ind w:left="2" w:right="102" w:firstLine="632"/>
        <w:rPr>
          <w:rFonts w:hint="eastAsia" w:ascii="仿宋" w:hAnsi="仿宋" w:eastAsia="仿宋" w:cs="仿宋"/>
          <w:snapToGrid w:val="0"/>
          <w:color w:val="000000"/>
          <w:spacing w:val="5"/>
          <w:kern w:val="0"/>
          <w:sz w:val="31"/>
          <w:szCs w:val="31"/>
          <w:lang w:val="en-US" w:eastAsia="zh-CN" w:bidi="ar-SA"/>
        </w:rPr>
        <w:sectPr>
          <w:footerReference r:id="rId8" w:type="default"/>
          <w:pgSz w:w="11906" w:h="16839"/>
          <w:pgMar w:top="1431" w:right="1428" w:bottom="1273" w:left="1552" w:header="0" w:footer="1060" w:gutter="0"/>
          <w:pgNumType w:fmt="numberInDash"/>
          <w:cols w:space="720" w:num="1"/>
        </w:sectPr>
      </w:pPr>
    </w:p>
    <w:p w14:paraId="76900A87">
      <w:pPr>
        <w:pStyle w:val="4"/>
        <w:widowControl w:val="0"/>
        <w:tabs>
          <w:tab w:val="left" w:pos="4392"/>
        </w:tabs>
        <w:kinsoku/>
        <w:autoSpaceDE/>
        <w:autoSpaceDN/>
        <w:adjustRightInd/>
        <w:snapToGrid/>
        <w:spacing w:before="0" w:after="0" w:line="600" w:lineRule="exact"/>
        <w:ind w:firstLine="0" w:firstLineChars="0"/>
        <w:jc w:val="center"/>
        <w:textAlignment w:val="auto"/>
        <w:rPr>
          <w:rFonts w:hint="eastAsia" w:ascii="方正小标宋简体" w:hAnsi="方正小标宋简体" w:eastAsia="方正小标宋简体" w:cs="方正小标宋简体"/>
          <w:b w:val="0"/>
          <w:bCs w:val="0"/>
          <w:snapToGrid/>
          <w:kern w:val="2"/>
          <w:sz w:val="36"/>
          <w:szCs w:val="36"/>
          <w:highlight w:val="none"/>
          <w:lang w:eastAsia="zh-CN"/>
        </w:rPr>
      </w:pPr>
      <w:r>
        <w:rPr>
          <w:rFonts w:hint="eastAsia" w:ascii="方正小标宋简体" w:hAnsi="方正小标宋简体" w:eastAsia="方正小标宋简体" w:cs="方正小标宋简体"/>
          <w:b w:val="0"/>
          <w:bCs w:val="0"/>
          <w:snapToGrid/>
          <w:kern w:val="2"/>
          <w:sz w:val="36"/>
          <w:szCs w:val="36"/>
          <w:highlight w:val="none"/>
          <w:lang w:eastAsia="zh-CN"/>
        </w:rPr>
        <w:t>第三部分  名词解释</w:t>
      </w:r>
    </w:p>
    <w:p w14:paraId="2BCDE47D">
      <w:pPr>
        <w:pStyle w:val="6"/>
        <w:spacing w:line="307" w:lineRule="auto"/>
      </w:pPr>
    </w:p>
    <w:p w14:paraId="49B52F2B">
      <w:pPr>
        <w:pStyle w:val="6"/>
        <w:spacing w:line="308" w:lineRule="auto"/>
      </w:pPr>
    </w:p>
    <w:p w14:paraId="0D8DD5BE">
      <w:pPr>
        <w:spacing w:before="101" w:line="559" w:lineRule="exact"/>
        <w:ind w:left="716"/>
        <w:rPr>
          <w:rFonts w:ascii="仿宋" w:hAnsi="仿宋" w:eastAsia="仿宋" w:cs="仿宋"/>
          <w:sz w:val="31"/>
          <w:szCs w:val="31"/>
        </w:rPr>
      </w:pPr>
      <w:r>
        <w:rPr>
          <w:rFonts w:ascii="黑体" w:hAnsi="黑体" w:eastAsia="黑体" w:cs="黑体"/>
          <w:spacing w:val="4"/>
          <w:position w:val="17"/>
          <w:sz w:val="31"/>
          <w:szCs w:val="31"/>
        </w:rPr>
        <w:t>一、一般公共预算财政拨款收入：</w:t>
      </w:r>
      <w:r>
        <w:rPr>
          <w:rFonts w:ascii="仿宋" w:hAnsi="仿宋" w:eastAsia="仿宋" w:cs="仿宋"/>
          <w:spacing w:val="4"/>
          <w:position w:val="17"/>
          <w:sz w:val="31"/>
          <w:szCs w:val="31"/>
        </w:rPr>
        <w:t>是指自治区财政当年拨付</w:t>
      </w:r>
    </w:p>
    <w:p w14:paraId="39E8D45C">
      <w:pPr>
        <w:spacing w:line="229" w:lineRule="auto"/>
        <w:ind w:left="98"/>
        <w:rPr>
          <w:rFonts w:ascii="仿宋" w:hAnsi="仿宋" w:eastAsia="仿宋" w:cs="仿宋"/>
          <w:sz w:val="31"/>
          <w:szCs w:val="31"/>
        </w:rPr>
      </w:pPr>
      <w:r>
        <w:rPr>
          <w:rFonts w:ascii="仿宋" w:hAnsi="仿宋" w:eastAsia="仿宋" w:cs="仿宋"/>
          <w:spacing w:val="-3"/>
          <w:sz w:val="31"/>
          <w:szCs w:val="31"/>
        </w:rPr>
        <w:t>的资金。</w:t>
      </w:r>
    </w:p>
    <w:p w14:paraId="52E076E3">
      <w:pPr>
        <w:spacing w:before="176" w:line="559" w:lineRule="exact"/>
        <w:ind w:left="716"/>
        <w:rPr>
          <w:rFonts w:ascii="仿宋" w:hAnsi="仿宋" w:eastAsia="仿宋" w:cs="仿宋"/>
          <w:sz w:val="31"/>
          <w:szCs w:val="31"/>
        </w:rPr>
      </w:pPr>
      <w:r>
        <w:rPr>
          <w:rFonts w:ascii="黑体" w:hAnsi="黑体" w:eastAsia="黑体" w:cs="黑体"/>
          <w:spacing w:val="5"/>
          <w:position w:val="18"/>
          <w:sz w:val="31"/>
          <w:szCs w:val="31"/>
        </w:rPr>
        <w:t>二、事业收入：</w:t>
      </w:r>
      <w:r>
        <w:rPr>
          <w:rFonts w:ascii="仿宋" w:hAnsi="仿宋" w:eastAsia="仿宋" w:cs="仿宋"/>
          <w:spacing w:val="5"/>
          <w:position w:val="18"/>
          <w:sz w:val="31"/>
          <w:szCs w:val="31"/>
        </w:rPr>
        <w:t>是指事业单位开展专业业务活</w:t>
      </w:r>
      <w:r>
        <w:rPr>
          <w:rFonts w:ascii="仿宋" w:hAnsi="仿宋" w:eastAsia="仿宋" w:cs="仿宋"/>
          <w:spacing w:val="4"/>
          <w:position w:val="18"/>
          <w:sz w:val="31"/>
          <w:szCs w:val="31"/>
        </w:rPr>
        <w:t>动及辅助活动</w:t>
      </w:r>
    </w:p>
    <w:p w14:paraId="65B26BB4">
      <w:pPr>
        <w:spacing w:before="1" w:line="227" w:lineRule="auto"/>
        <w:ind w:left="80"/>
        <w:rPr>
          <w:rFonts w:ascii="仿宋" w:hAnsi="仿宋" w:eastAsia="仿宋" w:cs="仿宋"/>
          <w:sz w:val="31"/>
          <w:szCs w:val="31"/>
        </w:rPr>
      </w:pPr>
      <w:r>
        <w:rPr>
          <w:rFonts w:ascii="仿宋" w:hAnsi="仿宋" w:eastAsia="仿宋" w:cs="仿宋"/>
          <w:spacing w:val="5"/>
          <w:sz w:val="31"/>
          <w:szCs w:val="31"/>
        </w:rPr>
        <w:t>所取得的收入。</w:t>
      </w:r>
    </w:p>
    <w:p w14:paraId="5C4EF76B">
      <w:pPr>
        <w:spacing w:before="177" w:line="562" w:lineRule="exact"/>
        <w:ind w:left="722"/>
        <w:rPr>
          <w:rFonts w:ascii="仿宋" w:hAnsi="仿宋" w:eastAsia="仿宋" w:cs="仿宋"/>
          <w:sz w:val="31"/>
          <w:szCs w:val="31"/>
        </w:rPr>
      </w:pPr>
      <w:r>
        <w:rPr>
          <w:rFonts w:ascii="黑体" w:hAnsi="黑体" w:eastAsia="黑体" w:cs="黑体"/>
          <w:spacing w:val="4"/>
          <w:position w:val="18"/>
          <w:sz w:val="31"/>
          <w:szCs w:val="31"/>
        </w:rPr>
        <w:t>三、事业单位经营收入</w:t>
      </w:r>
      <w:r>
        <w:rPr>
          <w:rFonts w:ascii="仿宋" w:hAnsi="仿宋" w:eastAsia="仿宋" w:cs="仿宋"/>
          <w:spacing w:val="4"/>
          <w:position w:val="18"/>
          <w:sz w:val="31"/>
          <w:szCs w:val="31"/>
        </w:rPr>
        <w:t>：是指事业单位在专业业务活动及其</w:t>
      </w:r>
    </w:p>
    <w:p w14:paraId="56A441CB">
      <w:pPr>
        <w:spacing w:line="226" w:lineRule="auto"/>
        <w:ind w:left="77"/>
        <w:rPr>
          <w:rFonts w:ascii="仿宋" w:hAnsi="仿宋" w:eastAsia="仿宋" w:cs="仿宋"/>
          <w:sz w:val="31"/>
          <w:szCs w:val="31"/>
        </w:rPr>
      </w:pPr>
      <w:r>
        <w:rPr>
          <w:rFonts w:ascii="仿宋" w:hAnsi="仿宋" w:eastAsia="仿宋" w:cs="仿宋"/>
          <w:spacing w:val="8"/>
          <w:sz w:val="31"/>
          <w:szCs w:val="31"/>
        </w:rPr>
        <w:t>辅助活动之外开展非独立核算经营活动取得的收入。</w:t>
      </w:r>
    </w:p>
    <w:p w14:paraId="31A9488E">
      <w:pPr>
        <w:spacing w:before="178" w:line="334" w:lineRule="auto"/>
        <w:ind w:firstLine="735"/>
        <w:rPr>
          <w:rFonts w:ascii="仿宋" w:hAnsi="仿宋" w:eastAsia="仿宋" w:cs="仿宋"/>
          <w:sz w:val="31"/>
          <w:szCs w:val="31"/>
        </w:rPr>
      </w:pPr>
      <w:r>
        <w:rPr>
          <w:rFonts w:ascii="黑体" w:hAnsi="黑体" w:eastAsia="黑体" w:cs="黑体"/>
          <w:spacing w:val="2"/>
          <w:sz w:val="31"/>
          <w:szCs w:val="31"/>
        </w:rPr>
        <w:t xml:space="preserve">四、其他收入 </w:t>
      </w:r>
      <w:r>
        <w:rPr>
          <w:rFonts w:ascii="仿宋" w:hAnsi="仿宋" w:eastAsia="仿宋" w:cs="仿宋"/>
          <w:spacing w:val="2"/>
          <w:sz w:val="31"/>
          <w:szCs w:val="31"/>
        </w:rPr>
        <w:t>：是指除上述</w:t>
      </w:r>
      <w:r>
        <w:rPr>
          <w:rFonts w:ascii="Times New Roman" w:hAnsi="Times New Roman" w:eastAsia="Times New Roman" w:cs="Times New Roman"/>
          <w:spacing w:val="2"/>
          <w:sz w:val="31"/>
          <w:szCs w:val="31"/>
        </w:rPr>
        <w:t>“</w:t>
      </w:r>
      <w:r>
        <w:rPr>
          <w:rFonts w:ascii="Times New Roman" w:hAnsi="Times New Roman" w:eastAsia="Times New Roman" w:cs="Times New Roman"/>
          <w:spacing w:val="-43"/>
          <w:sz w:val="31"/>
          <w:szCs w:val="31"/>
        </w:rPr>
        <w:t xml:space="preserve"> </w:t>
      </w:r>
      <w:r>
        <w:rPr>
          <w:rFonts w:ascii="仿宋" w:hAnsi="仿宋" w:eastAsia="仿宋" w:cs="仿宋"/>
          <w:spacing w:val="2"/>
          <w:sz w:val="31"/>
          <w:szCs w:val="31"/>
        </w:rPr>
        <w:t>一般公共预算财政拨款收入</w:t>
      </w:r>
      <w:r>
        <w:rPr>
          <w:rFonts w:ascii="Times New Roman" w:hAnsi="Times New Roman" w:eastAsia="Times New Roman" w:cs="Times New Roman"/>
          <w:spacing w:val="2"/>
          <w:sz w:val="31"/>
          <w:szCs w:val="31"/>
        </w:rPr>
        <w:t>”</w:t>
      </w:r>
      <w:r>
        <w:rPr>
          <w:rFonts w:ascii="仿宋" w:hAnsi="仿宋" w:eastAsia="仿宋" w:cs="仿宋"/>
          <w:spacing w:val="2"/>
          <w:sz w:val="31"/>
          <w:szCs w:val="31"/>
        </w:rPr>
        <w:t>、</w:t>
      </w:r>
      <w:r>
        <w:rPr>
          <w:rFonts w:ascii="仿宋" w:hAnsi="仿宋" w:eastAsia="仿宋" w:cs="仿宋"/>
          <w:sz w:val="31"/>
          <w:szCs w:val="31"/>
        </w:rPr>
        <w:t xml:space="preserve"> </w:t>
      </w:r>
      <w:r>
        <w:rPr>
          <w:rFonts w:ascii="Times New Roman" w:hAnsi="Times New Roman" w:eastAsia="Times New Roman" w:cs="Times New Roman"/>
          <w:spacing w:val="7"/>
          <w:sz w:val="31"/>
          <w:szCs w:val="31"/>
        </w:rPr>
        <w:t>“</w:t>
      </w:r>
      <w:r>
        <w:rPr>
          <w:rFonts w:ascii="Times New Roman" w:hAnsi="Times New Roman" w:eastAsia="Times New Roman" w:cs="Times New Roman"/>
          <w:spacing w:val="-51"/>
          <w:sz w:val="31"/>
          <w:szCs w:val="31"/>
        </w:rPr>
        <w:t xml:space="preserve"> </w:t>
      </w:r>
      <w:r>
        <w:rPr>
          <w:rFonts w:ascii="仿宋" w:hAnsi="仿宋" w:eastAsia="仿宋" w:cs="仿宋"/>
          <w:spacing w:val="7"/>
          <w:sz w:val="31"/>
          <w:szCs w:val="31"/>
        </w:rPr>
        <w:t>事业收入</w:t>
      </w:r>
      <w:r>
        <w:rPr>
          <w:rFonts w:ascii="Times New Roman" w:hAnsi="Times New Roman" w:eastAsia="Times New Roman" w:cs="Times New Roman"/>
          <w:spacing w:val="7"/>
          <w:sz w:val="31"/>
          <w:szCs w:val="31"/>
        </w:rPr>
        <w:t>”</w:t>
      </w:r>
      <w:r>
        <w:rPr>
          <w:rFonts w:ascii="仿宋" w:hAnsi="仿宋" w:eastAsia="仿宋" w:cs="仿宋"/>
          <w:spacing w:val="7"/>
          <w:sz w:val="31"/>
          <w:szCs w:val="31"/>
        </w:rPr>
        <w:t>、</w:t>
      </w:r>
      <w:r>
        <w:rPr>
          <w:rFonts w:ascii="Times New Roman" w:hAnsi="Times New Roman" w:eastAsia="Times New Roman" w:cs="Times New Roman"/>
          <w:spacing w:val="7"/>
          <w:sz w:val="31"/>
          <w:szCs w:val="31"/>
        </w:rPr>
        <w:t>“</w:t>
      </w:r>
      <w:r>
        <w:rPr>
          <w:rFonts w:ascii="Times New Roman" w:hAnsi="Times New Roman" w:eastAsia="Times New Roman" w:cs="Times New Roman"/>
          <w:spacing w:val="-57"/>
          <w:sz w:val="31"/>
          <w:szCs w:val="31"/>
        </w:rPr>
        <w:t xml:space="preserve"> </w:t>
      </w:r>
      <w:r>
        <w:rPr>
          <w:rFonts w:ascii="仿宋" w:hAnsi="仿宋" w:eastAsia="仿宋" w:cs="仿宋"/>
          <w:spacing w:val="7"/>
          <w:sz w:val="31"/>
          <w:szCs w:val="31"/>
        </w:rPr>
        <w:t>事业单位经营收入</w:t>
      </w:r>
      <w:r>
        <w:rPr>
          <w:rFonts w:ascii="Times New Roman" w:hAnsi="Times New Roman" w:eastAsia="Times New Roman" w:cs="Times New Roman"/>
          <w:spacing w:val="7"/>
          <w:sz w:val="31"/>
          <w:szCs w:val="31"/>
        </w:rPr>
        <w:t>”</w:t>
      </w:r>
      <w:r>
        <w:rPr>
          <w:rFonts w:ascii="Times New Roman" w:hAnsi="Times New Roman" w:eastAsia="Times New Roman" w:cs="Times New Roman"/>
          <w:spacing w:val="-44"/>
          <w:sz w:val="31"/>
          <w:szCs w:val="31"/>
        </w:rPr>
        <w:t xml:space="preserve"> </w:t>
      </w:r>
      <w:r>
        <w:rPr>
          <w:rFonts w:ascii="仿宋" w:hAnsi="仿宋" w:eastAsia="仿宋" w:cs="仿宋"/>
          <w:spacing w:val="7"/>
          <w:sz w:val="31"/>
          <w:szCs w:val="31"/>
        </w:rPr>
        <w:t>等以外的收入。主要是指按规</w:t>
      </w:r>
    </w:p>
    <w:p w14:paraId="555157B1">
      <w:pPr>
        <w:spacing w:before="2" w:line="224" w:lineRule="auto"/>
        <w:ind w:left="85"/>
        <w:rPr>
          <w:rFonts w:ascii="仿宋" w:hAnsi="仿宋" w:eastAsia="仿宋" w:cs="仿宋"/>
          <w:sz w:val="31"/>
          <w:szCs w:val="31"/>
        </w:rPr>
      </w:pPr>
      <w:r>
        <w:rPr>
          <w:rFonts w:ascii="仿宋" w:hAnsi="仿宋" w:eastAsia="仿宋" w:cs="仿宋"/>
          <w:spacing w:val="7"/>
          <w:sz w:val="31"/>
          <w:szCs w:val="31"/>
        </w:rPr>
        <w:t>定动用的售房收入、存款利息收入等。</w:t>
      </w:r>
    </w:p>
    <w:p w14:paraId="7A4D04F3">
      <w:pPr>
        <w:spacing w:before="178" w:line="334" w:lineRule="auto"/>
        <w:ind w:right="105" w:firstLine="724"/>
        <w:rPr>
          <w:rFonts w:ascii="仿宋" w:hAnsi="仿宋" w:eastAsia="仿宋" w:cs="仿宋"/>
          <w:sz w:val="31"/>
          <w:szCs w:val="31"/>
        </w:rPr>
      </w:pPr>
      <w:r>
        <w:rPr>
          <w:rFonts w:ascii="黑体" w:hAnsi="黑体" w:eastAsia="黑体" w:cs="黑体"/>
          <w:spacing w:val="4"/>
          <w:sz w:val="31"/>
          <w:szCs w:val="31"/>
        </w:rPr>
        <w:t>五、用事业基金弥补收支差额</w:t>
      </w:r>
      <w:r>
        <w:rPr>
          <w:rFonts w:ascii="仿宋" w:hAnsi="仿宋" w:eastAsia="仿宋" w:cs="仿宋"/>
          <w:spacing w:val="4"/>
          <w:sz w:val="31"/>
          <w:szCs w:val="31"/>
        </w:rPr>
        <w:t>：是指事业单位在预计用当年</w:t>
      </w:r>
      <w:r>
        <w:rPr>
          <w:rFonts w:ascii="仿宋" w:hAnsi="仿宋" w:eastAsia="仿宋" w:cs="仿宋"/>
          <w:spacing w:val="12"/>
          <w:sz w:val="31"/>
          <w:szCs w:val="31"/>
        </w:rPr>
        <w:t xml:space="preserve"> </w:t>
      </w:r>
      <w:r>
        <w:rPr>
          <w:rFonts w:ascii="仿宋" w:hAnsi="仿宋" w:eastAsia="仿宋" w:cs="仿宋"/>
          <w:spacing w:val="6"/>
          <w:sz w:val="31"/>
          <w:szCs w:val="31"/>
        </w:rPr>
        <w:t>的</w:t>
      </w:r>
      <w:r>
        <w:rPr>
          <w:rFonts w:ascii="Times New Roman" w:hAnsi="Times New Roman" w:eastAsia="Times New Roman" w:cs="Times New Roman"/>
          <w:spacing w:val="6"/>
          <w:sz w:val="31"/>
          <w:szCs w:val="31"/>
        </w:rPr>
        <w:t>“</w:t>
      </w:r>
      <w:r>
        <w:rPr>
          <w:rFonts w:ascii="Times New Roman" w:hAnsi="Times New Roman" w:eastAsia="Times New Roman" w:cs="Times New Roman"/>
          <w:spacing w:val="-40"/>
          <w:sz w:val="31"/>
          <w:szCs w:val="31"/>
        </w:rPr>
        <w:t xml:space="preserve"> </w:t>
      </w:r>
      <w:r>
        <w:rPr>
          <w:rFonts w:ascii="仿宋" w:hAnsi="仿宋" w:eastAsia="仿宋" w:cs="仿宋"/>
          <w:spacing w:val="6"/>
          <w:sz w:val="31"/>
          <w:szCs w:val="31"/>
        </w:rPr>
        <w:t>一般公共预算财政拨款收入</w:t>
      </w:r>
      <w:r>
        <w:rPr>
          <w:rFonts w:ascii="Times New Roman" w:hAnsi="Times New Roman" w:eastAsia="Times New Roman" w:cs="Times New Roman"/>
          <w:spacing w:val="6"/>
          <w:sz w:val="31"/>
          <w:szCs w:val="31"/>
        </w:rPr>
        <w:t>”</w:t>
      </w:r>
      <w:r>
        <w:rPr>
          <w:rFonts w:ascii="Times New Roman" w:hAnsi="Times New Roman" w:eastAsia="Times New Roman" w:cs="Times New Roman"/>
          <w:spacing w:val="-30"/>
          <w:sz w:val="31"/>
          <w:szCs w:val="31"/>
        </w:rPr>
        <w:t xml:space="preserve"> </w:t>
      </w:r>
      <w:r>
        <w:rPr>
          <w:rFonts w:ascii="仿宋" w:hAnsi="仿宋" w:eastAsia="仿宋" w:cs="仿宋"/>
          <w:spacing w:val="6"/>
          <w:sz w:val="31"/>
          <w:szCs w:val="31"/>
        </w:rPr>
        <w:t>、</w:t>
      </w:r>
      <w:r>
        <w:rPr>
          <w:rFonts w:ascii="Times New Roman" w:hAnsi="Times New Roman" w:eastAsia="Times New Roman" w:cs="Times New Roman"/>
          <w:spacing w:val="6"/>
          <w:sz w:val="31"/>
          <w:szCs w:val="31"/>
        </w:rPr>
        <w:t>“</w:t>
      </w:r>
      <w:r>
        <w:rPr>
          <w:rFonts w:ascii="Times New Roman" w:hAnsi="Times New Roman" w:eastAsia="Times New Roman" w:cs="Times New Roman"/>
          <w:spacing w:val="-52"/>
          <w:sz w:val="31"/>
          <w:szCs w:val="31"/>
        </w:rPr>
        <w:t xml:space="preserve"> </w:t>
      </w:r>
      <w:r>
        <w:rPr>
          <w:rFonts w:ascii="仿宋" w:hAnsi="仿宋" w:eastAsia="仿宋" w:cs="仿宋"/>
          <w:spacing w:val="6"/>
          <w:sz w:val="31"/>
          <w:szCs w:val="31"/>
        </w:rPr>
        <w:t>财政拨款结转和结余资金</w:t>
      </w:r>
      <w:r>
        <w:rPr>
          <w:rFonts w:ascii="Times New Roman" w:hAnsi="Times New Roman" w:eastAsia="Times New Roman" w:cs="Times New Roman"/>
          <w:spacing w:val="6"/>
          <w:sz w:val="31"/>
          <w:szCs w:val="31"/>
        </w:rPr>
        <w:t>”</w:t>
      </w:r>
      <w:r>
        <w:rPr>
          <w:rFonts w:ascii="仿宋" w:hAnsi="仿宋" w:eastAsia="仿宋" w:cs="仿宋"/>
          <w:spacing w:val="6"/>
          <w:sz w:val="31"/>
          <w:szCs w:val="31"/>
        </w:rPr>
        <w:t>、</w:t>
      </w:r>
      <w:r>
        <w:rPr>
          <w:rFonts w:ascii="仿宋" w:hAnsi="仿宋" w:eastAsia="仿宋" w:cs="仿宋"/>
          <w:sz w:val="31"/>
          <w:szCs w:val="31"/>
        </w:rPr>
        <w:t xml:space="preserve"> </w:t>
      </w:r>
      <w:r>
        <w:rPr>
          <w:rFonts w:ascii="Times New Roman" w:hAnsi="Times New Roman" w:eastAsia="Times New Roman" w:cs="Times New Roman"/>
          <w:spacing w:val="8"/>
          <w:sz w:val="31"/>
          <w:szCs w:val="31"/>
        </w:rPr>
        <w:t>“</w:t>
      </w:r>
      <w:r>
        <w:rPr>
          <w:rFonts w:ascii="Times New Roman" w:hAnsi="Times New Roman" w:eastAsia="Times New Roman" w:cs="Times New Roman"/>
          <w:spacing w:val="-37"/>
          <w:sz w:val="31"/>
          <w:szCs w:val="31"/>
        </w:rPr>
        <w:t xml:space="preserve"> </w:t>
      </w:r>
      <w:r>
        <w:rPr>
          <w:rFonts w:ascii="仿宋" w:hAnsi="仿宋" w:eastAsia="仿宋" w:cs="仿宋"/>
          <w:spacing w:val="8"/>
          <w:sz w:val="31"/>
          <w:szCs w:val="31"/>
        </w:rPr>
        <w:t>事业收入</w:t>
      </w:r>
      <w:r>
        <w:rPr>
          <w:rFonts w:ascii="Times New Roman" w:hAnsi="Times New Roman" w:eastAsia="Times New Roman" w:cs="Times New Roman"/>
          <w:spacing w:val="8"/>
          <w:sz w:val="31"/>
          <w:szCs w:val="31"/>
        </w:rPr>
        <w:t>”</w:t>
      </w:r>
      <w:r>
        <w:rPr>
          <w:rFonts w:ascii="Times New Roman" w:hAnsi="Times New Roman" w:eastAsia="Times New Roman" w:cs="Times New Roman"/>
          <w:spacing w:val="28"/>
          <w:sz w:val="31"/>
          <w:szCs w:val="31"/>
        </w:rPr>
        <w:t xml:space="preserve">  </w:t>
      </w:r>
      <w:r>
        <w:rPr>
          <w:rFonts w:ascii="仿宋" w:hAnsi="仿宋" w:eastAsia="仿宋" w:cs="仿宋"/>
          <w:spacing w:val="8"/>
          <w:sz w:val="31"/>
          <w:szCs w:val="31"/>
        </w:rPr>
        <w:t>、</w:t>
      </w:r>
      <w:r>
        <w:rPr>
          <w:rFonts w:ascii="Times New Roman" w:hAnsi="Times New Roman" w:eastAsia="Times New Roman" w:cs="Times New Roman"/>
          <w:spacing w:val="8"/>
          <w:sz w:val="31"/>
          <w:szCs w:val="31"/>
        </w:rPr>
        <w:t>“</w:t>
      </w:r>
      <w:r>
        <w:rPr>
          <w:rFonts w:ascii="Times New Roman" w:hAnsi="Times New Roman" w:eastAsia="Times New Roman" w:cs="Times New Roman"/>
          <w:spacing w:val="-51"/>
          <w:sz w:val="31"/>
          <w:szCs w:val="31"/>
        </w:rPr>
        <w:t xml:space="preserve"> </w:t>
      </w:r>
      <w:r>
        <w:rPr>
          <w:rFonts w:ascii="仿宋" w:hAnsi="仿宋" w:eastAsia="仿宋" w:cs="仿宋"/>
          <w:spacing w:val="8"/>
          <w:sz w:val="31"/>
          <w:szCs w:val="31"/>
        </w:rPr>
        <w:t>事业单位经营收入</w:t>
      </w:r>
      <w:r>
        <w:rPr>
          <w:rFonts w:ascii="Times New Roman" w:hAnsi="Times New Roman" w:eastAsia="Times New Roman" w:cs="Times New Roman"/>
          <w:spacing w:val="8"/>
          <w:sz w:val="31"/>
          <w:szCs w:val="31"/>
        </w:rPr>
        <w:t>”</w:t>
      </w:r>
      <w:r>
        <w:rPr>
          <w:rFonts w:ascii="Times New Roman" w:hAnsi="Times New Roman" w:eastAsia="Times New Roman" w:cs="Times New Roman"/>
          <w:spacing w:val="-25"/>
          <w:sz w:val="31"/>
          <w:szCs w:val="31"/>
        </w:rPr>
        <w:t xml:space="preserve"> </w:t>
      </w:r>
      <w:r>
        <w:rPr>
          <w:rFonts w:ascii="仿宋" w:hAnsi="仿宋" w:eastAsia="仿宋" w:cs="仿宋"/>
          <w:spacing w:val="8"/>
          <w:sz w:val="31"/>
          <w:szCs w:val="31"/>
        </w:rPr>
        <w:t>、</w:t>
      </w:r>
      <w:r>
        <w:rPr>
          <w:rFonts w:ascii="Times New Roman" w:hAnsi="Times New Roman" w:eastAsia="Times New Roman" w:cs="Times New Roman"/>
          <w:spacing w:val="8"/>
          <w:sz w:val="31"/>
          <w:szCs w:val="31"/>
        </w:rPr>
        <w:t>“</w:t>
      </w:r>
      <w:r>
        <w:rPr>
          <w:rFonts w:ascii="Times New Roman" w:hAnsi="Times New Roman" w:eastAsia="Times New Roman" w:cs="Times New Roman"/>
          <w:spacing w:val="-49"/>
          <w:sz w:val="31"/>
          <w:szCs w:val="31"/>
        </w:rPr>
        <w:t xml:space="preserve"> </w:t>
      </w:r>
      <w:r>
        <w:rPr>
          <w:rFonts w:ascii="仿宋" w:hAnsi="仿宋" w:eastAsia="仿宋" w:cs="仿宋"/>
          <w:spacing w:val="8"/>
          <w:sz w:val="31"/>
          <w:szCs w:val="31"/>
        </w:rPr>
        <w:t>其他收入</w:t>
      </w:r>
      <w:r>
        <w:rPr>
          <w:rFonts w:ascii="Times New Roman" w:hAnsi="Times New Roman" w:eastAsia="Times New Roman" w:cs="Times New Roman"/>
          <w:spacing w:val="8"/>
          <w:sz w:val="31"/>
          <w:szCs w:val="31"/>
        </w:rPr>
        <w:t>”</w:t>
      </w:r>
      <w:r>
        <w:rPr>
          <w:rFonts w:ascii="Times New Roman" w:hAnsi="Times New Roman" w:eastAsia="Times New Roman" w:cs="Times New Roman"/>
          <w:spacing w:val="-41"/>
          <w:sz w:val="31"/>
          <w:szCs w:val="31"/>
        </w:rPr>
        <w:t xml:space="preserve"> </w:t>
      </w:r>
      <w:r>
        <w:rPr>
          <w:rFonts w:ascii="仿宋" w:hAnsi="仿宋" w:eastAsia="仿宋" w:cs="仿宋"/>
          <w:spacing w:val="8"/>
          <w:sz w:val="31"/>
          <w:szCs w:val="31"/>
        </w:rPr>
        <w:t>不足以安排当</w:t>
      </w:r>
      <w:r>
        <w:rPr>
          <w:rFonts w:ascii="仿宋" w:hAnsi="仿宋" w:eastAsia="仿宋" w:cs="仿宋"/>
          <w:sz w:val="31"/>
          <w:szCs w:val="31"/>
        </w:rPr>
        <w:t xml:space="preserve"> </w:t>
      </w:r>
      <w:r>
        <w:rPr>
          <w:rFonts w:ascii="仿宋" w:hAnsi="仿宋" w:eastAsia="仿宋" w:cs="仿宋"/>
          <w:spacing w:val="8"/>
          <w:sz w:val="31"/>
          <w:szCs w:val="31"/>
        </w:rPr>
        <w:t>年支出的情况下，使用以前年度积累的事业基金（事业单</w:t>
      </w:r>
      <w:r>
        <w:rPr>
          <w:rFonts w:ascii="仿宋" w:hAnsi="仿宋" w:eastAsia="仿宋" w:cs="仿宋"/>
          <w:spacing w:val="7"/>
          <w:sz w:val="31"/>
          <w:szCs w:val="31"/>
        </w:rPr>
        <w:t>位当年</w:t>
      </w:r>
      <w:r>
        <w:rPr>
          <w:rFonts w:ascii="仿宋" w:hAnsi="仿宋" w:eastAsia="仿宋" w:cs="仿宋"/>
          <w:sz w:val="31"/>
          <w:szCs w:val="31"/>
        </w:rPr>
        <w:t xml:space="preserve"> </w:t>
      </w:r>
      <w:r>
        <w:rPr>
          <w:rFonts w:ascii="仿宋" w:hAnsi="仿宋" w:eastAsia="仿宋" w:cs="仿宋"/>
          <w:spacing w:val="19"/>
          <w:sz w:val="31"/>
          <w:szCs w:val="31"/>
        </w:rPr>
        <w:t>收支相抵后按国家规定提取、用于弥补以后年度收支差额的基</w:t>
      </w:r>
    </w:p>
    <w:p w14:paraId="3F1B2511">
      <w:pPr>
        <w:spacing w:line="227" w:lineRule="auto"/>
        <w:ind w:left="79"/>
        <w:rPr>
          <w:rFonts w:ascii="仿宋" w:hAnsi="仿宋" w:eastAsia="仿宋" w:cs="仿宋"/>
          <w:sz w:val="31"/>
          <w:szCs w:val="31"/>
        </w:rPr>
      </w:pPr>
      <w:r>
        <w:rPr>
          <w:rFonts w:ascii="仿宋" w:hAnsi="仿宋" w:eastAsia="仿宋" w:cs="仿宋"/>
          <w:spacing w:val="7"/>
          <w:sz w:val="31"/>
          <w:szCs w:val="31"/>
        </w:rPr>
        <w:t>金）弥补本年收支缺口的资金。</w:t>
      </w:r>
    </w:p>
    <w:p w14:paraId="1676F020">
      <w:pPr>
        <w:spacing w:before="178" w:line="559" w:lineRule="exact"/>
        <w:ind w:left="726"/>
        <w:rPr>
          <w:rFonts w:ascii="仿宋" w:hAnsi="仿宋" w:eastAsia="仿宋" w:cs="仿宋"/>
          <w:sz w:val="31"/>
          <w:szCs w:val="31"/>
        </w:rPr>
      </w:pPr>
      <w:r>
        <w:rPr>
          <w:rFonts w:ascii="黑体" w:hAnsi="黑体" w:eastAsia="黑体" w:cs="黑体"/>
          <w:spacing w:val="4"/>
          <w:position w:val="18"/>
          <w:sz w:val="31"/>
          <w:szCs w:val="31"/>
        </w:rPr>
        <w:t>六、上年结转和结余</w:t>
      </w:r>
      <w:r>
        <w:rPr>
          <w:rFonts w:ascii="仿宋" w:hAnsi="仿宋" w:eastAsia="仿宋" w:cs="仿宋"/>
          <w:spacing w:val="4"/>
          <w:position w:val="18"/>
          <w:sz w:val="31"/>
          <w:szCs w:val="31"/>
        </w:rPr>
        <w:t>：是指以前年度尚未完成、结转到本年</w:t>
      </w:r>
    </w:p>
    <w:p w14:paraId="6788670B">
      <w:pPr>
        <w:spacing w:before="2" w:line="227" w:lineRule="auto"/>
        <w:ind w:left="80"/>
        <w:rPr>
          <w:rFonts w:ascii="仿宋" w:hAnsi="仿宋" w:eastAsia="仿宋" w:cs="仿宋"/>
          <w:sz w:val="31"/>
          <w:szCs w:val="31"/>
        </w:rPr>
      </w:pPr>
      <w:r>
        <w:rPr>
          <w:rFonts w:ascii="仿宋" w:hAnsi="仿宋" w:eastAsia="仿宋" w:cs="仿宋"/>
          <w:spacing w:val="7"/>
          <w:sz w:val="31"/>
          <w:szCs w:val="31"/>
        </w:rPr>
        <w:t>仍按原规定用途继续使用的资金。</w:t>
      </w:r>
    </w:p>
    <w:p w14:paraId="189351A7">
      <w:pPr>
        <w:spacing w:before="179" w:line="559" w:lineRule="exact"/>
        <w:ind w:left="715"/>
        <w:rPr>
          <w:rFonts w:ascii="仿宋" w:hAnsi="仿宋" w:eastAsia="仿宋" w:cs="仿宋"/>
          <w:sz w:val="31"/>
          <w:szCs w:val="31"/>
        </w:rPr>
      </w:pPr>
      <w:r>
        <w:rPr>
          <w:rFonts w:ascii="黑体" w:hAnsi="黑体" w:eastAsia="黑体" w:cs="黑体"/>
          <w:spacing w:val="5"/>
          <w:position w:val="18"/>
          <w:sz w:val="31"/>
          <w:szCs w:val="31"/>
        </w:rPr>
        <w:t>七、基本支出</w:t>
      </w:r>
      <w:r>
        <w:rPr>
          <w:rFonts w:ascii="仿宋" w:hAnsi="仿宋" w:eastAsia="仿宋" w:cs="仿宋"/>
          <w:spacing w:val="5"/>
          <w:position w:val="18"/>
          <w:sz w:val="31"/>
          <w:szCs w:val="31"/>
        </w:rPr>
        <w:t>：是指为保障机构正常运转，完成</w:t>
      </w:r>
      <w:r>
        <w:rPr>
          <w:rFonts w:ascii="仿宋" w:hAnsi="仿宋" w:eastAsia="仿宋" w:cs="仿宋"/>
          <w:spacing w:val="4"/>
          <w:position w:val="18"/>
          <w:sz w:val="31"/>
          <w:szCs w:val="31"/>
        </w:rPr>
        <w:t>日常工作任</w:t>
      </w:r>
    </w:p>
    <w:p w14:paraId="184FA83E">
      <w:pPr>
        <w:spacing w:before="1" w:line="228" w:lineRule="auto"/>
        <w:ind w:left="88"/>
        <w:rPr>
          <w:rFonts w:ascii="仿宋" w:hAnsi="仿宋" w:eastAsia="仿宋" w:cs="仿宋"/>
          <w:sz w:val="31"/>
          <w:szCs w:val="31"/>
        </w:rPr>
      </w:pPr>
      <w:r>
        <w:rPr>
          <w:rFonts w:ascii="仿宋" w:hAnsi="仿宋" w:eastAsia="仿宋" w:cs="仿宋"/>
          <w:spacing w:val="7"/>
          <w:sz w:val="31"/>
          <w:szCs w:val="31"/>
        </w:rPr>
        <w:t>务而发生的人员支出和共用支出。</w:t>
      </w:r>
    </w:p>
    <w:p w14:paraId="4280161D">
      <w:pPr>
        <w:spacing w:before="175" w:line="562" w:lineRule="exact"/>
        <w:ind w:left="716"/>
        <w:rPr>
          <w:rFonts w:ascii="仿宋" w:hAnsi="仿宋" w:eastAsia="仿宋" w:cs="仿宋"/>
          <w:sz w:val="31"/>
          <w:szCs w:val="31"/>
        </w:rPr>
      </w:pPr>
      <w:r>
        <w:rPr>
          <w:rFonts w:ascii="黑体" w:hAnsi="黑体" w:eastAsia="黑体" w:cs="黑体"/>
          <w:spacing w:val="5"/>
          <w:position w:val="18"/>
          <w:sz w:val="31"/>
          <w:szCs w:val="31"/>
        </w:rPr>
        <w:t>八、项目支出</w:t>
      </w:r>
      <w:r>
        <w:rPr>
          <w:rFonts w:ascii="仿宋" w:hAnsi="仿宋" w:eastAsia="仿宋" w:cs="仿宋"/>
          <w:spacing w:val="5"/>
          <w:position w:val="18"/>
          <w:sz w:val="31"/>
          <w:szCs w:val="31"/>
        </w:rPr>
        <w:t>：是指基本支出之外，为完成特</w:t>
      </w:r>
      <w:r>
        <w:rPr>
          <w:rFonts w:ascii="仿宋" w:hAnsi="仿宋" w:eastAsia="仿宋" w:cs="仿宋"/>
          <w:spacing w:val="4"/>
          <w:position w:val="18"/>
          <w:sz w:val="31"/>
          <w:szCs w:val="31"/>
        </w:rPr>
        <w:t>定行政任务和</w:t>
      </w:r>
    </w:p>
    <w:p w14:paraId="7CFF5506">
      <w:pPr>
        <w:spacing w:before="1" w:line="227" w:lineRule="auto"/>
        <w:ind w:left="79"/>
        <w:rPr>
          <w:rFonts w:ascii="仿宋" w:hAnsi="仿宋" w:eastAsia="仿宋" w:cs="仿宋"/>
          <w:sz w:val="31"/>
          <w:szCs w:val="31"/>
        </w:rPr>
      </w:pPr>
      <w:r>
        <w:rPr>
          <w:rFonts w:ascii="仿宋" w:hAnsi="仿宋" w:eastAsia="仿宋" w:cs="仿宋"/>
          <w:spacing w:val="7"/>
          <w:sz w:val="31"/>
          <w:szCs w:val="31"/>
        </w:rPr>
        <w:t>事业发展目标所发生的支出。</w:t>
      </w:r>
    </w:p>
    <w:p w14:paraId="463E376E">
      <w:pPr>
        <w:spacing w:before="177" w:line="227" w:lineRule="auto"/>
        <w:ind w:left="723"/>
        <w:rPr>
          <w:rFonts w:ascii="仿宋" w:hAnsi="仿宋" w:eastAsia="仿宋" w:cs="仿宋"/>
          <w:sz w:val="31"/>
          <w:szCs w:val="31"/>
        </w:rPr>
      </w:pPr>
      <w:r>
        <w:rPr>
          <w:rFonts w:ascii="黑体" w:hAnsi="黑体" w:eastAsia="黑体" w:cs="黑体"/>
          <w:spacing w:val="3"/>
          <w:sz w:val="31"/>
          <w:szCs w:val="31"/>
        </w:rPr>
        <w:t>九、</w:t>
      </w:r>
      <w:r>
        <w:rPr>
          <w:rFonts w:ascii="Times New Roman" w:hAnsi="Times New Roman" w:eastAsia="Times New Roman" w:cs="Times New Roman"/>
          <w:spacing w:val="3"/>
          <w:sz w:val="31"/>
          <w:szCs w:val="31"/>
        </w:rPr>
        <w:t>“</w:t>
      </w:r>
      <w:r>
        <w:rPr>
          <w:rFonts w:ascii="Times New Roman" w:hAnsi="Times New Roman" w:eastAsia="Times New Roman" w:cs="Times New Roman"/>
          <w:spacing w:val="-48"/>
          <w:sz w:val="31"/>
          <w:szCs w:val="31"/>
        </w:rPr>
        <w:t xml:space="preserve"> </w:t>
      </w:r>
      <w:r>
        <w:rPr>
          <w:rFonts w:ascii="黑体" w:hAnsi="黑体" w:eastAsia="黑体" w:cs="黑体"/>
          <w:spacing w:val="3"/>
          <w:sz w:val="31"/>
          <w:szCs w:val="31"/>
        </w:rPr>
        <w:t>三公</w:t>
      </w:r>
      <w:r>
        <w:rPr>
          <w:rFonts w:ascii="Times New Roman" w:hAnsi="Times New Roman" w:eastAsia="Times New Roman" w:cs="Times New Roman"/>
          <w:spacing w:val="3"/>
          <w:sz w:val="31"/>
          <w:szCs w:val="31"/>
        </w:rPr>
        <w:t>”</w:t>
      </w:r>
      <w:r>
        <w:rPr>
          <w:rFonts w:ascii="Times New Roman" w:hAnsi="Times New Roman" w:eastAsia="Times New Roman" w:cs="Times New Roman"/>
          <w:spacing w:val="-59"/>
          <w:sz w:val="31"/>
          <w:szCs w:val="31"/>
        </w:rPr>
        <w:t xml:space="preserve"> </w:t>
      </w:r>
      <w:r>
        <w:rPr>
          <w:rFonts w:ascii="黑体" w:hAnsi="黑体" w:eastAsia="黑体" w:cs="黑体"/>
          <w:spacing w:val="3"/>
          <w:sz w:val="31"/>
          <w:szCs w:val="31"/>
        </w:rPr>
        <w:t>经费</w:t>
      </w:r>
      <w:r>
        <w:rPr>
          <w:rFonts w:ascii="仿宋" w:hAnsi="仿宋" w:eastAsia="仿宋" w:cs="仿宋"/>
          <w:spacing w:val="3"/>
          <w:sz w:val="31"/>
          <w:szCs w:val="31"/>
        </w:rPr>
        <w:t>：纳入财政预决算管理的</w:t>
      </w:r>
      <w:r>
        <w:rPr>
          <w:rFonts w:ascii="Times New Roman" w:hAnsi="Times New Roman" w:eastAsia="Times New Roman" w:cs="Times New Roman"/>
          <w:spacing w:val="3"/>
          <w:sz w:val="31"/>
          <w:szCs w:val="31"/>
        </w:rPr>
        <w:t>“</w:t>
      </w:r>
      <w:r>
        <w:rPr>
          <w:rFonts w:ascii="Times New Roman" w:hAnsi="Times New Roman" w:eastAsia="Times New Roman" w:cs="Times New Roman"/>
          <w:spacing w:val="-47"/>
          <w:sz w:val="31"/>
          <w:szCs w:val="31"/>
        </w:rPr>
        <w:t xml:space="preserve"> </w:t>
      </w:r>
      <w:r>
        <w:rPr>
          <w:rFonts w:ascii="仿宋" w:hAnsi="仿宋" w:eastAsia="仿宋" w:cs="仿宋"/>
          <w:spacing w:val="3"/>
          <w:sz w:val="31"/>
          <w:szCs w:val="31"/>
        </w:rPr>
        <w:t>三公</w:t>
      </w:r>
      <w:r>
        <w:rPr>
          <w:rFonts w:ascii="Times New Roman" w:hAnsi="Times New Roman" w:eastAsia="Times New Roman" w:cs="Times New Roman"/>
          <w:spacing w:val="3"/>
          <w:sz w:val="31"/>
          <w:szCs w:val="31"/>
        </w:rPr>
        <w:t>”</w:t>
      </w:r>
      <w:r>
        <w:rPr>
          <w:rFonts w:ascii="Times New Roman" w:hAnsi="Times New Roman" w:eastAsia="Times New Roman" w:cs="Times New Roman"/>
          <w:spacing w:val="-54"/>
          <w:sz w:val="31"/>
          <w:szCs w:val="31"/>
        </w:rPr>
        <w:t xml:space="preserve"> </w:t>
      </w:r>
      <w:r>
        <w:rPr>
          <w:rFonts w:ascii="仿宋" w:hAnsi="仿宋" w:eastAsia="仿宋" w:cs="仿宋"/>
          <w:spacing w:val="3"/>
          <w:sz w:val="31"/>
          <w:szCs w:val="31"/>
        </w:rPr>
        <w:t>经费，是指</w:t>
      </w:r>
    </w:p>
    <w:p w14:paraId="57B7A6A3">
      <w:pPr>
        <w:spacing w:line="227" w:lineRule="auto"/>
        <w:rPr>
          <w:rFonts w:ascii="仿宋" w:hAnsi="仿宋" w:eastAsia="仿宋" w:cs="仿宋"/>
          <w:sz w:val="31"/>
          <w:szCs w:val="31"/>
        </w:rPr>
        <w:sectPr>
          <w:footerReference r:id="rId9" w:type="default"/>
          <w:pgSz w:w="11906" w:h="16839"/>
          <w:pgMar w:top="1431" w:right="1425" w:bottom="1276" w:left="1472" w:header="0" w:footer="1060" w:gutter="0"/>
          <w:pgNumType w:fmt="numberInDash"/>
          <w:cols w:space="720" w:num="1"/>
        </w:sectPr>
      </w:pPr>
    </w:p>
    <w:p w14:paraId="5E29A50C">
      <w:pPr>
        <w:spacing w:before="326" w:line="334" w:lineRule="auto"/>
        <w:ind w:right="85" w:firstLine="1"/>
        <w:jc w:val="both"/>
        <w:rPr>
          <w:rFonts w:ascii="仿宋" w:hAnsi="仿宋" w:eastAsia="仿宋" w:cs="仿宋"/>
          <w:sz w:val="31"/>
          <w:szCs w:val="31"/>
        </w:rPr>
      </w:pPr>
      <w:r>
        <w:rPr>
          <w:rFonts w:ascii="仿宋" w:hAnsi="仿宋" w:eastAsia="仿宋" w:cs="仿宋"/>
          <w:spacing w:val="5"/>
          <w:sz w:val="31"/>
          <w:szCs w:val="31"/>
        </w:rPr>
        <w:t>部门用财政拨款安排的因公出国（境）费、公务用车购置及运行</w:t>
      </w:r>
      <w:r>
        <w:rPr>
          <w:rFonts w:ascii="仿宋" w:hAnsi="仿宋" w:eastAsia="仿宋" w:cs="仿宋"/>
          <w:sz w:val="31"/>
          <w:szCs w:val="31"/>
        </w:rPr>
        <w:t xml:space="preserve"> </w:t>
      </w:r>
      <w:r>
        <w:rPr>
          <w:rFonts w:ascii="仿宋" w:hAnsi="仿宋" w:eastAsia="仿宋" w:cs="仿宋"/>
          <w:spacing w:val="5"/>
          <w:sz w:val="31"/>
          <w:szCs w:val="31"/>
        </w:rPr>
        <w:t>维护费、公务接待费。其中：因公出国（境）费反映单位公务出</w:t>
      </w:r>
      <w:r>
        <w:rPr>
          <w:rFonts w:ascii="仿宋" w:hAnsi="仿宋" w:eastAsia="仿宋" w:cs="仿宋"/>
          <w:spacing w:val="4"/>
          <w:sz w:val="31"/>
          <w:szCs w:val="31"/>
        </w:rPr>
        <w:t xml:space="preserve"> </w:t>
      </w:r>
      <w:r>
        <w:rPr>
          <w:rFonts w:ascii="仿宋" w:hAnsi="仿宋" w:eastAsia="仿宋" w:cs="仿宋"/>
          <w:spacing w:val="5"/>
          <w:sz w:val="31"/>
          <w:szCs w:val="31"/>
        </w:rPr>
        <w:t>国（境）的国际旅费、国内城市间交通费、住宿费、伙食费、培</w:t>
      </w:r>
      <w:r>
        <w:rPr>
          <w:rFonts w:ascii="仿宋" w:hAnsi="仿宋" w:eastAsia="仿宋" w:cs="仿宋"/>
          <w:spacing w:val="4"/>
          <w:sz w:val="31"/>
          <w:szCs w:val="31"/>
        </w:rPr>
        <w:t xml:space="preserve"> </w:t>
      </w:r>
      <w:r>
        <w:rPr>
          <w:rFonts w:ascii="仿宋" w:hAnsi="仿宋" w:eastAsia="仿宋" w:cs="仿宋"/>
          <w:spacing w:val="5"/>
          <w:sz w:val="31"/>
          <w:szCs w:val="31"/>
        </w:rPr>
        <w:t>训费、公杂费等支出；公务用车购置费反映单位公务员车购置支</w:t>
      </w:r>
      <w:r>
        <w:rPr>
          <w:rFonts w:ascii="仿宋" w:hAnsi="仿宋" w:eastAsia="仿宋" w:cs="仿宋"/>
          <w:spacing w:val="1"/>
          <w:sz w:val="31"/>
          <w:szCs w:val="31"/>
        </w:rPr>
        <w:t xml:space="preserve"> </w:t>
      </w:r>
      <w:r>
        <w:rPr>
          <w:rFonts w:ascii="仿宋" w:hAnsi="仿宋" w:eastAsia="仿宋" w:cs="仿宋"/>
          <w:spacing w:val="9"/>
          <w:sz w:val="31"/>
          <w:szCs w:val="31"/>
        </w:rPr>
        <w:t>出（含车辆购置税</w:t>
      </w:r>
      <w:r>
        <w:rPr>
          <w:rFonts w:ascii="仿宋" w:hAnsi="仿宋" w:eastAsia="仿宋" w:cs="仿宋"/>
          <w:spacing w:val="-48"/>
          <w:sz w:val="31"/>
          <w:szCs w:val="31"/>
        </w:rPr>
        <w:t>）；</w:t>
      </w:r>
      <w:r>
        <w:rPr>
          <w:rFonts w:ascii="仿宋" w:hAnsi="仿宋" w:eastAsia="仿宋" w:cs="仿宋"/>
          <w:spacing w:val="9"/>
          <w:sz w:val="31"/>
          <w:szCs w:val="31"/>
        </w:rPr>
        <w:t>公务用车运行维护费反映单位按规定保留</w:t>
      </w:r>
      <w:r>
        <w:rPr>
          <w:rFonts w:ascii="仿宋" w:hAnsi="仿宋" w:eastAsia="仿宋" w:cs="仿宋"/>
          <w:spacing w:val="1"/>
          <w:sz w:val="31"/>
          <w:szCs w:val="31"/>
        </w:rPr>
        <w:t xml:space="preserve"> </w:t>
      </w:r>
      <w:r>
        <w:rPr>
          <w:rFonts w:ascii="仿宋" w:hAnsi="仿宋" w:eastAsia="仿宋" w:cs="仿宋"/>
          <w:spacing w:val="5"/>
          <w:sz w:val="31"/>
          <w:szCs w:val="31"/>
        </w:rPr>
        <w:t>的公务用车燃料费、维修费、保险费、过路过桥费、安全奖励费</w:t>
      </w:r>
      <w:r>
        <w:rPr>
          <w:rFonts w:ascii="仿宋" w:hAnsi="仿宋" w:eastAsia="仿宋" w:cs="仿宋"/>
          <w:sz w:val="31"/>
          <w:szCs w:val="31"/>
        </w:rPr>
        <w:t xml:space="preserve"> </w:t>
      </w:r>
      <w:r>
        <w:rPr>
          <w:rFonts w:ascii="仿宋" w:hAnsi="仿宋" w:eastAsia="仿宋" w:cs="仿宋"/>
          <w:spacing w:val="5"/>
          <w:sz w:val="31"/>
          <w:szCs w:val="31"/>
        </w:rPr>
        <w:t>用等支出；公务接待费反映单位按规定开支的各类公务接待（含</w:t>
      </w:r>
    </w:p>
    <w:p w14:paraId="0665C259">
      <w:pPr>
        <w:spacing w:line="227" w:lineRule="auto"/>
        <w:ind w:left="4"/>
        <w:rPr>
          <w:rFonts w:ascii="仿宋" w:hAnsi="仿宋" w:eastAsia="仿宋" w:cs="仿宋"/>
          <w:sz w:val="31"/>
          <w:szCs w:val="31"/>
        </w:rPr>
      </w:pPr>
      <w:r>
        <w:rPr>
          <w:rFonts w:ascii="仿宋" w:hAnsi="仿宋" w:eastAsia="仿宋" w:cs="仿宋"/>
          <w:spacing w:val="5"/>
          <w:sz w:val="31"/>
          <w:szCs w:val="31"/>
        </w:rPr>
        <w:t>外宾接待）支出。</w:t>
      </w:r>
    </w:p>
    <w:p w14:paraId="18084580">
      <w:pPr>
        <w:spacing w:before="174" w:line="334" w:lineRule="auto"/>
        <w:ind w:firstLine="636"/>
        <w:jc w:val="both"/>
        <w:rPr>
          <w:rFonts w:ascii="仿宋" w:hAnsi="仿宋" w:eastAsia="仿宋" w:cs="仿宋"/>
          <w:sz w:val="31"/>
          <w:szCs w:val="31"/>
        </w:rPr>
      </w:pPr>
      <w:r>
        <w:rPr>
          <w:rFonts w:ascii="黑体" w:hAnsi="黑体" w:eastAsia="黑体" w:cs="黑体"/>
          <w:spacing w:val="5"/>
          <w:sz w:val="31"/>
          <w:szCs w:val="31"/>
        </w:rPr>
        <w:t>十、机关运行经费</w:t>
      </w:r>
      <w:r>
        <w:rPr>
          <w:rFonts w:ascii="仿宋" w:hAnsi="仿宋" w:eastAsia="仿宋" w:cs="仿宋"/>
          <w:spacing w:val="5"/>
          <w:sz w:val="31"/>
          <w:szCs w:val="31"/>
        </w:rPr>
        <w:t>：是指为保障行政单位（含参</w:t>
      </w:r>
      <w:r>
        <w:rPr>
          <w:rFonts w:ascii="仿宋" w:hAnsi="仿宋" w:eastAsia="仿宋" w:cs="仿宋"/>
          <w:spacing w:val="4"/>
          <w:sz w:val="31"/>
          <w:szCs w:val="31"/>
        </w:rPr>
        <w:t>照公务员法</w:t>
      </w:r>
      <w:r>
        <w:rPr>
          <w:rFonts w:ascii="仿宋" w:hAnsi="仿宋" w:eastAsia="仿宋" w:cs="仿宋"/>
          <w:sz w:val="31"/>
          <w:szCs w:val="31"/>
        </w:rPr>
        <w:t xml:space="preserve"> </w:t>
      </w:r>
      <w:r>
        <w:rPr>
          <w:rFonts w:ascii="仿宋" w:hAnsi="仿宋" w:eastAsia="仿宋" w:cs="仿宋"/>
          <w:spacing w:val="-3"/>
          <w:sz w:val="31"/>
          <w:szCs w:val="31"/>
        </w:rPr>
        <w:t>管理的事业单位）运行，用于购买货物和服务等的各项公用经费，</w:t>
      </w:r>
      <w:r>
        <w:rPr>
          <w:rFonts w:ascii="仿宋" w:hAnsi="仿宋" w:eastAsia="仿宋" w:cs="仿宋"/>
          <w:spacing w:val="7"/>
          <w:sz w:val="31"/>
          <w:szCs w:val="31"/>
        </w:rPr>
        <w:t xml:space="preserve"> </w:t>
      </w:r>
      <w:r>
        <w:rPr>
          <w:rFonts w:ascii="仿宋" w:hAnsi="仿宋" w:eastAsia="仿宋" w:cs="仿宋"/>
          <w:spacing w:val="2"/>
          <w:sz w:val="31"/>
          <w:szCs w:val="31"/>
        </w:rPr>
        <w:t>包括办公及印刷费、邮电费、差旅费、会议费、福利费、</w:t>
      </w:r>
      <w:r>
        <w:rPr>
          <w:rFonts w:ascii="仿宋" w:hAnsi="仿宋" w:eastAsia="仿宋" w:cs="仿宋"/>
          <w:spacing w:val="-66"/>
          <w:sz w:val="31"/>
          <w:szCs w:val="31"/>
        </w:rPr>
        <w:t xml:space="preserve"> </w:t>
      </w:r>
      <w:r>
        <w:rPr>
          <w:rFonts w:ascii="仿宋" w:hAnsi="仿宋" w:eastAsia="仿宋" w:cs="仿宋"/>
          <w:spacing w:val="2"/>
          <w:sz w:val="31"/>
          <w:szCs w:val="31"/>
        </w:rPr>
        <w:t>日常维</w:t>
      </w:r>
      <w:r>
        <w:rPr>
          <w:rFonts w:ascii="仿宋" w:hAnsi="仿宋" w:eastAsia="仿宋" w:cs="仿宋"/>
          <w:sz w:val="31"/>
          <w:szCs w:val="31"/>
        </w:rPr>
        <w:t xml:space="preserve"> </w:t>
      </w:r>
      <w:r>
        <w:rPr>
          <w:rFonts w:ascii="仿宋" w:hAnsi="仿宋" w:eastAsia="仿宋" w:cs="仿宋"/>
          <w:spacing w:val="5"/>
          <w:sz w:val="31"/>
          <w:szCs w:val="31"/>
        </w:rPr>
        <w:t>修费、专业材料及一般设备购置费、办公用房水电费、办公用房</w:t>
      </w:r>
      <w:r>
        <w:rPr>
          <w:rFonts w:ascii="仿宋" w:hAnsi="仿宋" w:eastAsia="仿宋" w:cs="仿宋"/>
          <w:spacing w:val="2"/>
          <w:sz w:val="31"/>
          <w:szCs w:val="31"/>
        </w:rPr>
        <w:t xml:space="preserve"> </w:t>
      </w:r>
      <w:r>
        <w:rPr>
          <w:rFonts w:ascii="仿宋" w:hAnsi="仿宋" w:eastAsia="仿宋" w:cs="仿宋"/>
          <w:spacing w:val="5"/>
          <w:sz w:val="31"/>
          <w:szCs w:val="31"/>
        </w:rPr>
        <w:t>取暖费、办公用房物业管理费、公务用车运行维护费以及其他费</w:t>
      </w:r>
    </w:p>
    <w:p w14:paraId="1318D159">
      <w:pPr>
        <w:spacing w:line="229" w:lineRule="auto"/>
        <w:rPr>
          <w:rFonts w:ascii="仿宋" w:hAnsi="仿宋" w:eastAsia="仿宋" w:cs="仿宋"/>
          <w:sz w:val="31"/>
          <w:szCs w:val="31"/>
        </w:rPr>
      </w:pPr>
      <w:r>
        <w:rPr>
          <w:rFonts w:ascii="仿宋" w:hAnsi="仿宋" w:eastAsia="仿宋" w:cs="仿宋"/>
          <w:spacing w:val="-7"/>
          <w:sz w:val="31"/>
          <w:szCs w:val="31"/>
        </w:rPr>
        <w:t>用。</w:t>
      </w:r>
    </w:p>
    <w:p w14:paraId="3D871401">
      <w:pPr>
        <w:spacing w:before="173" w:line="334" w:lineRule="auto"/>
        <w:ind w:right="87" w:firstLine="636"/>
        <w:jc w:val="both"/>
        <w:rPr>
          <w:rFonts w:ascii="仿宋" w:hAnsi="仿宋" w:eastAsia="仿宋" w:cs="仿宋"/>
          <w:sz w:val="31"/>
          <w:szCs w:val="31"/>
        </w:rPr>
      </w:pPr>
      <w:r>
        <w:rPr>
          <w:rFonts w:ascii="黑体" w:hAnsi="黑体" w:eastAsia="黑体" w:cs="黑体"/>
          <w:spacing w:val="10"/>
          <w:sz w:val="31"/>
          <w:szCs w:val="31"/>
        </w:rPr>
        <w:t>十一、工资福利支出（支出经济分类科目类</w:t>
      </w:r>
      <w:r>
        <w:rPr>
          <w:rFonts w:ascii="黑体" w:hAnsi="黑体" w:eastAsia="黑体" w:cs="黑体"/>
          <w:spacing w:val="9"/>
          <w:sz w:val="31"/>
          <w:szCs w:val="31"/>
        </w:rPr>
        <w:t>级</w:t>
      </w:r>
      <w:r>
        <w:rPr>
          <w:rFonts w:ascii="黑体" w:hAnsi="黑体" w:eastAsia="黑体" w:cs="黑体"/>
          <w:spacing w:val="-74"/>
          <w:w w:val="94"/>
          <w:sz w:val="31"/>
          <w:szCs w:val="31"/>
        </w:rPr>
        <w:t>）</w:t>
      </w:r>
      <w:r>
        <w:rPr>
          <w:rFonts w:ascii="仿宋" w:hAnsi="仿宋" w:eastAsia="仿宋" w:cs="仿宋"/>
          <w:spacing w:val="-74"/>
          <w:w w:val="94"/>
          <w:sz w:val="31"/>
          <w:szCs w:val="31"/>
        </w:rPr>
        <w:t>：</w:t>
      </w:r>
      <w:r>
        <w:rPr>
          <w:rFonts w:ascii="仿宋" w:hAnsi="仿宋" w:eastAsia="仿宋" w:cs="仿宋"/>
          <w:spacing w:val="-82"/>
          <w:sz w:val="31"/>
          <w:szCs w:val="31"/>
        </w:rPr>
        <w:t xml:space="preserve"> </w:t>
      </w:r>
      <w:r>
        <w:rPr>
          <w:rFonts w:ascii="仿宋" w:hAnsi="仿宋" w:eastAsia="仿宋" w:cs="仿宋"/>
          <w:spacing w:val="9"/>
          <w:sz w:val="31"/>
          <w:szCs w:val="31"/>
        </w:rPr>
        <w:t>反映单位</w:t>
      </w:r>
      <w:r>
        <w:rPr>
          <w:rFonts w:ascii="仿宋" w:hAnsi="仿宋" w:eastAsia="仿宋" w:cs="仿宋"/>
          <w:sz w:val="31"/>
          <w:szCs w:val="31"/>
        </w:rPr>
        <w:t xml:space="preserve"> </w:t>
      </w:r>
      <w:r>
        <w:rPr>
          <w:rFonts w:ascii="仿宋" w:hAnsi="仿宋" w:eastAsia="仿宋" w:cs="仿宋"/>
          <w:spacing w:val="5"/>
          <w:sz w:val="31"/>
          <w:szCs w:val="31"/>
        </w:rPr>
        <w:t>开支的在职职工和编制外长期聘用人员的各类活动报酬，以及为</w:t>
      </w:r>
    </w:p>
    <w:p w14:paraId="446F8FEA">
      <w:pPr>
        <w:spacing w:line="226" w:lineRule="auto"/>
        <w:ind w:left="3"/>
        <w:rPr>
          <w:rFonts w:ascii="仿宋" w:hAnsi="仿宋" w:eastAsia="仿宋" w:cs="仿宋"/>
          <w:sz w:val="31"/>
          <w:szCs w:val="31"/>
        </w:rPr>
      </w:pPr>
      <w:r>
        <w:rPr>
          <w:rFonts w:ascii="仿宋" w:hAnsi="仿宋" w:eastAsia="仿宋" w:cs="仿宋"/>
          <w:spacing w:val="7"/>
          <w:sz w:val="31"/>
          <w:szCs w:val="31"/>
        </w:rPr>
        <w:t>上述人员缴纳的各项社会保险费等。</w:t>
      </w:r>
    </w:p>
    <w:p w14:paraId="117D7E8D">
      <w:pPr>
        <w:spacing w:before="178" w:line="334" w:lineRule="auto"/>
        <w:ind w:left="2" w:right="87" w:firstLine="634"/>
        <w:jc w:val="both"/>
        <w:rPr>
          <w:rFonts w:ascii="仿宋" w:hAnsi="仿宋" w:eastAsia="仿宋" w:cs="仿宋"/>
          <w:sz w:val="31"/>
          <w:szCs w:val="31"/>
        </w:rPr>
      </w:pPr>
      <w:r>
        <w:rPr>
          <w:rFonts w:ascii="黑体" w:hAnsi="黑体" w:eastAsia="黑体" w:cs="黑体"/>
          <w:spacing w:val="10"/>
          <w:sz w:val="31"/>
          <w:szCs w:val="31"/>
        </w:rPr>
        <w:t>十二、商品和服务支出（支出经济分类科目</w:t>
      </w:r>
      <w:r>
        <w:rPr>
          <w:rFonts w:ascii="黑体" w:hAnsi="黑体" w:eastAsia="黑体" w:cs="黑体"/>
          <w:spacing w:val="9"/>
          <w:sz w:val="31"/>
          <w:szCs w:val="31"/>
        </w:rPr>
        <w:t>类级</w:t>
      </w:r>
      <w:r>
        <w:rPr>
          <w:rFonts w:ascii="黑体" w:hAnsi="黑体" w:eastAsia="黑体" w:cs="黑体"/>
          <w:spacing w:val="-74"/>
          <w:w w:val="94"/>
          <w:sz w:val="31"/>
          <w:szCs w:val="31"/>
        </w:rPr>
        <w:t>）</w:t>
      </w:r>
      <w:r>
        <w:rPr>
          <w:rFonts w:ascii="仿宋" w:hAnsi="仿宋" w:eastAsia="仿宋" w:cs="仿宋"/>
          <w:spacing w:val="-74"/>
          <w:w w:val="94"/>
          <w:sz w:val="31"/>
          <w:szCs w:val="31"/>
        </w:rPr>
        <w:t>：</w:t>
      </w:r>
      <w:r>
        <w:rPr>
          <w:rFonts w:ascii="仿宋" w:hAnsi="仿宋" w:eastAsia="仿宋" w:cs="仿宋"/>
          <w:spacing w:val="-82"/>
          <w:sz w:val="31"/>
          <w:szCs w:val="31"/>
        </w:rPr>
        <w:t xml:space="preserve"> </w:t>
      </w:r>
      <w:r>
        <w:rPr>
          <w:rFonts w:ascii="仿宋" w:hAnsi="仿宋" w:eastAsia="仿宋" w:cs="仿宋"/>
          <w:spacing w:val="9"/>
          <w:sz w:val="31"/>
          <w:szCs w:val="31"/>
        </w:rPr>
        <w:t>反映单</w:t>
      </w:r>
      <w:r>
        <w:rPr>
          <w:rFonts w:ascii="仿宋" w:hAnsi="仿宋" w:eastAsia="仿宋" w:cs="仿宋"/>
          <w:sz w:val="31"/>
          <w:szCs w:val="31"/>
        </w:rPr>
        <w:t xml:space="preserve"> </w:t>
      </w:r>
      <w:r>
        <w:rPr>
          <w:rFonts w:ascii="仿宋" w:hAnsi="仿宋" w:eastAsia="仿宋" w:cs="仿宋"/>
          <w:spacing w:val="5"/>
          <w:sz w:val="31"/>
          <w:szCs w:val="31"/>
        </w:rPr>
        <w:t>位购买商品和服务的支出（不包括用于购置固定资产的支出、战</w:t>
      </w:r>
    </w:p>
    <w:p w14:paraId="47EBA2AD">
      <w:pPr>
        <w:spacing w:before="1" w:line="225" w:lineRule="auto"/>
        <w:ind w:left="13"/>
        <w:rPr>
          <w:rFonts w:ascii="仿宋" w:hAnsi="仿宋" w:eastAsia="仿宋" w:cs="仿宋"/>
          <w:sz w:val="31"/>
          <w:szCs w:val="31"/>
        </w:rPr>
      </w:pPr>
      <w:r>
        <w:rPr>
          <w:rFonts w:ascii="仿宋" w:hAnsi="仿宋" w:eastAsia="仿宋" w:cs="仿宋"/>
          <w:spacing w:val="-5"/>
          <w:sz w:val="31"/>
          <w:szCs w:val="31"/>
        </w:rPr>
        <w:t>略性和应急储备支出）。</w:t>
      </w:r>
    </w:p>
    <w:p w14:paraId="05914FA3">
      <w:pPr>
        <w:spacing w:line="225" w:lineRule="auto"/>
        <w:rPr>
          <w:rFonts w:ascii="仿宋" w:hAnsi="仿宋" w:eastAsia="仿宋" w:cs="仿宋"/>
          <w:sz w:val="31"/>
          <w:szCs w:val="31"/>
        </w:rPr>
        <w:sectPr>
          <w:footerReference r:id="rId10" w:type="default"/>
          <w:pgSz w:w="11906" w:h="16839"/>
          <w:pgMar w:top="1431" w:right="1443" w:bottom="1273" w:left="1551" w:header="0" w:footer="1060" w:gutter="0"/>
          <w:pgNumType w:fmt="numberInDash"/>
          <w:cols w:space="720" w:num="1"/>
        </w:sectPr>
      </w:pPr>
    </w:p>
    <w:p w14:paraId="56041A45">
      <w:pPr>
        <w:spacing w:before="296" w:line="228" w:lineRule="auto"/>
        <w:ind w:left="590"/>
        <w:jc w:val="center"/>
        <w:rPr>
          <w:rFonts w:hint="eastAsia" w:ascii="方正小标宋简体" w:hAnsi="方正小标宋简体" w:eastAsia="方正小标宋简体" w:cs="方正小标宋简体"/>
          <w:b w:val="0"/>
          <w:bCs w:val="0"/>
          <w:snapToGrid/>
          <w:kern w:val="2"/>
          <w:sz w:val="36"/>
          <w:szCs w:val="36"/>
          <w:highlight w:val="none"/>
          <w:lang w:val="en-US" w:eastAsia="zh-CN" w:bidi="ar-SA"/>
        </w:rPr>
      </w:pPr>
      <w:r>
        <w:rPr>
          <w:rFonts w:hint="eastAsia" w:ascii="方正小标宋简体" w:hAnsi="方正小标宋简体" w:eastAsia="方正小标宋简体" w:cs="方正小标宋简体"/>
          <w:b w:val="0"/>
          <w:bCs w:val="0"/>
          <w:snapToGrid/>
          <w:kern w:val="2"/>
          <w:sz w:val="36"/>
          <w:szCs w:val="36"/>
          <w:highlight w:val="none"/>
          <w:lang w:val="en-US" w:eastAsia="zh-CN" w:bidi="ar-SA"/>
        </w:rPr>
        <w:t>第四部分  预算公开联系方式及信息反馈渠道</w:t>
      </w:r>
    </w:p>
    <w:p w14:paraId="0BFDF9C3">
      <w:pPr>
        <w:pStyle w:val="6"/>
        <w:spacing w:line="309" w:lineRule="auto"/>
      </w:pPr>
    </w:p>
    <w:p w14:paraId="5418BF53">
      <w:pPr>
        <w:pStyle w:val="6"/>
        <w:spacing w:line="309" w:lineRule="auto"/>
      </w:pPr>
    </w:p>
    <w:p w14:paraId="76617736">
      <w:pPr>
        <w:spacing w:before="101" w:line="226" w:lineRule="auto"/>
        <w:ind w:left="408"/>
        <w:rPr>
          <w:rFonts w:ascii="仿宋" w:hAnsi="仿宋" w:eastAsia="仿宋" w:cs="仿宋"/>
          <w:sz w:val="31"/>
          <w:szCs w:val="31"/>
        </w:rPr>
      </w:pPr>
      <w:r>
        <w:rPr>
          <w:rFonts w:ascii="仿宋" w:hAnsi="仿宋" w:eastAsia="仿宋" w:cs="仿宋"/>
          <w:spacing w:val="8"/>
          <w:sz w:val="31"/>
          <w:szCs w:val="31"/>
        </w:rPr>
        <w:t>本单位预算公开信息反馈和联系方式：</w:t>
      </w:r>
    </w:p>
    <w:p w14:paraId="0E07CAA8">
      <w:pPr>
        <w:spacing w:before="178" w:line="229" w:lineRule="auto"/>
        <w:ind w:left="403"/>
        <w:rPr>
          <w:rFonts w:hint="default" w:ascii="Times New Roman" w:hAnsi="Times New Roman" w:eastAsia="宋体" w:cs="Times New Roman"/>
          <w:sz w:val="31"/>
          <w:szCs w:val="31"/>
          <w:lang w:val="en-US" w:eastAsia="zh-CN"/>
        </w:rPr>
      </w:pPr>
      <w:r>
        <w:rPr>
          <w:rFonts w:ascii="仿宋" w:hAnsi="仿宋" w:eastAsia="仿宋" w:cs="仿宋"/>
          <w:spacing w:val="6"/>
          <w:sz w:val="31"/>
          <w:szCs w:val="31"/>
        </w:rPr>
        <w:t>联系人：</w:t>
      </w:r>
      <w:r>
        <w:rPr>
          <w:rFonts w:hint="eastAsia" w:ascii="仿宋" w:hAnsi="仿宋" w:eastAsia="仿宋" w:cs="仿宋"/>
          <w:spacing w:val="6"/>
          <w:sz w:val="31"/>
          <w:szCs w:val="31"/>
          <w:lang w:eastAsia="zh-CN"/>
        </w:rPr>
        <w:t>火宏虹</w:t>
      </w:r>
      <w:r>
        <w:rPr>
          <w:rFonts w:ascii="仿宋" w:hAnsi="仿宋" w:eastAsia="仿宋" w:cs="仿宋"/>
          <w:spacing w:val="6"/>
          <w:sz w:val="31"/>
          <w:szCs w:val="31"/>
        </w:rPr>
        <w:t xml:space="preserve">        联系电话：</w:t>
      </w:r>
      <w:r>
        <w:rPr>
          <w:rFonts w:ascii="Times New Roman" w:hAnsi="Times New Roman" w:eastAsia="Times New Roman" w:cs="Times New Roman"/>
          <w:spacing w:val="6"/>
          <w:sz w:val="31"/>
          <w:szCs w:val="31"/>
        </w:rPr>
        <w:t>0471-</w:t>
      </w:r>
      <w:r>
        <w:rPr>
          <w:rFonts w:hint="eastAsia" w:ascii="Times New Roman" w:hAnsi="Times New Roman" w:eastAsia="宋体" w:cs="Times New Roman"/>
          <w:spacing w:val="6"/>
          <w:sz w:val="31"/>
          <w:szCs w:val="31"/>
          <w:lang w:val="en-US" w:eastAsia="zh-CN"/>
        </w:rPr>
        <w:t>6946847</w:t>
      </w:r>
    </w:p>
    <w:p w14:paraId="440948D4">
      <w:pPr>
        <w:spacing w:line="229" w:lineRule="auto"/>
        <w:rPr>
          <w:rFonts w:ascii="Times New Roman" w:hAnsi="Times New Roman" w:eastAsia="Times New Roman" w:cs="Times New Roman"/>
          <w:sz w:val="31"/>
          <w:szCs w:val="31"/>
        </w:rPr>
        <w:sectPr>
          <w:footerReference r:id="rId11" w:type="default"/>
          <w:pgSz w:w="11906" w:h="16839"/>
          <w:pgMar w:top="1431" w:right="1785" w:bottom="1276" w:left="1785" w:header="0" w:footer="1060" w:gutter="0"/>
          <w:pgNumType w:fmt="numberInDash"/>
          <w:cols w:space="720" w:num="1"/>
        </w:sectPr>
      </w:pPr>
    </w:p>
    <w:p w14:paraId="14B05336">
      <w:pPr>
        <w:spacing w:before="296" w:line="228" w:lineRule="auto"/>
        <w:ind w:left="590"/>
        <w:jc w:val="center"/>
        <w:rPr>
          <w:rFonts w:hint="eastAsia" w:ascii="方正小标宋简体" w:hAnsi="方正小标宋简体" w:eastAsia="方正小标宋简体" w:cs="方正小标宋简体"/>
          <w:b w:val="0"/>
          <w:bCs w:val="0"/>
          <w:snapToGrid/>
          <w:kern w:val="2"/>
          <w:sz w:val="36"/>
          <w:szCs w:val="36"/>
          <w:highlight w:val="none"/>
          <w:lang w:val="en-US" w:eastAsia="zh-CN" w:bidi="ar-SA"/>
        </w:rPr>
      </w:pPr>
      <w:r>
        <w:rPr>
          <w:rFonts w:hint="eastAsia" w:ascii="方正小标宋简体" w:hAnsi="方正小标宋简体" w:eastAsia="方正小标宋简体" w:cs="方正小标宋简体"/>
          <w:b w:val="0"/>
          <w:bCs w:val="0"/>
          <w:snapToGrid/>
          <w:kern w:val="2"/>
          <w:sz w:val="36"/>
          <w:szCs w:val="36"/>
          <w:highlight w:val="none"/>
          <w:lang w:val="en-US" w:eastAsia="zh-CN" w:bidi="ar-SA"/>
        </w:rPr>
        <w:t>第五部分  2025年单位预算公开表</w:t>
      </w:r>
    </w:p>
    <w:p w14:paraId="0BE0E48D">
      <w:pPr>
        <w:pStyle w:val="6"/>
        <w:spacing w:line="307" w:lineRule="auto"/>
      </w:pPr>
    </w:p>
    <w:p w14:paraId="7EFB5796">
      <w:pPr>
        <w:pStyle w:val="6"/>
        <w:spacing w:line="308" w:lineRule="auto"/>
      </w:pPr>
    </w:p>
    <w:p w14:paraId="6DD35C82">
      <w:pPr>
        <w:pStyle w:val="6"/>
        <w:spacing w:line="309" w:lineRule="auto"/>
        <w:rPr>
          <w:rFonts w:ascii="仿宋" w:hAnsi="仿宋" w:eastAsia="仿宋" w:cs="仿宋"/>
          <w:snapToGrid w:val="0"/>
          <w:color w:val="000000"/>
          <w:spacing w:val="-3"/>
          <w:kern w:val="0"/>
          <w:sz w:val="31"/>
          <w:szCs w:val="31"/>
          <w:lang w:val="en-US" w:eastAsia="en-US" w:bidi="ar-SA"/>
        </w:rPr>
      </w:pPr>
      <w:r>
        <w:rPr>
          <w:rFonts w:ascii="仿宋" w:hAnsi="仿宋" w:eastAsia="仿宋" w:cs="仿宋"/>
          <w:snapToGrid w:val="0"/>
          <w:color w:val="000000"/>
          <w:spacing w:val="-3"/>
          <w:kern w:val="0"/>
          <w:sz w:val="31"/>
          <w:szCs w:val="31"/>
          <w:lang w:val="en-US" w:eastAsia="en-US" w:bidi="ar-SA"/>
        </w:rPr>
        <w:t>详见附表：202</w:t>
      </w:r>
      <w:r>
        <w:rPr>
          <w:rFonts w:hint="eastAsia" w:ascii="仿宋" w:hAnsi="仿宋" w:eastAsia="仿宋" w:cs="仿宋"/>
          <w:snapToGrid w:val="0"/>
          <w:color w:val="000000"/>
          <w:spacing w:val="-3"/>
          <w:kern w:val="0"/>
          <w:sz w:val="31"/>
          <w:szCs w:val="31"/>
          <w:lang w:val="en-US" w:eastAsia="zh-CN" w:bidi="ar-SA"/>
        </w:rPr>
        <w:t>5</w:t>
      </w:r>
      <w:r>
        <w:rPr>
          <w:rFonts w:ascii="仿宋" w:hAnsi="仿宋" w:eastAsia="仿宋" w:cs="仿宋"/>
          <w:snapToGrid w:val="0"/>
          <w:color w:val="000000"/>
          <w:spacing w:val="-3"/>
          <w:kern w:val="0"/>
          <w:sz w:val="31"/>
          <w:szCs w:val="31"/>
          <w:lang w:val="en-US" w:eastAsia="en-US" w:bidi="ar-SA"/>
        </w:rPr>
        <w:t>年内蒙古自治区</w:t>
      </w:r>
      <w:r>
        <w:rPr>
          <w:rFonts w:hint="eastAsia" w:ascii="仿宋" w:hAnsi="仿宋" w:eastAsia="仿宋" w:cs="仿宋"/>
          <w:snapToGrid w:val="0"/>
          <w:color w:val="000000"/>
          <w:spacing w:val="-3"/>
          <w:kern w:val="0"/>
          <w:sz w:val="31"/>
          <w:szCs w:val="31"/>
          <w:lang w:val="en-US" w:eastAsia="zh-CN" w:bidi="ar-SA"/>
        </w:rPr>
        <w:t>卫生健康委员会综合保障中心单位</w:t>
      </w:r>
      <w:r>
        <w:rPr>
          <w:rFonts w:ascii="仿宋" w:hAnsi="仿宋" w:eastAsia="仿宋" w:cs="仿宋"/>
          <w:snapToGrid w:val="0"/>
          <w:color w:val="000000"/>
          <w:spacing w:val="-3"/>
          <w:kern w:val="0"/>
          <w:sz w:val="31"/>
          <w:szCs w:val="31"/>
          <w:lang w:val="en-US" w:eastAsia="en-US" w:bidi="ar-SA"/>
        </w:rPr>
        <w:t>预算公开表。</w:t>
      </w:r>
    </w:p>
    <w:sectPr>
      <w:footerReference r:id="rId12" w:type="default"/>
      <w:pgSz w:w="11906" w:h="16839"/>
      <w:pgMar w:top="1431" w:right="1531" w:bottom="1276" w:left="1552" w:header="0" w:footer="1060"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7931F">
    <w:pPr>
      <w:spacing w:line="176" w:lineRule="auto"/>
      <w:ind w:left="4133"/>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2EC786">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- 1 -</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A2EC786">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- 1 -</w:t>
                    </w:r>
                    <w:r>
                      <w:rPr>
                        <w:rFonts w:hint="eastAsia" w:eastAsia="宋体"/>
                        <w:lang w:eastAsia="zh-CN"/>
                      </w:rPr>
                      <w:fldChar w:fldCharType="end"/>
                    </w:r>
                  </w:p>
                </w:txbxContent>
              </v:textbox>
            </v:shape>
          </w:pict>
        </mc:Fallback>
      </mc:AlternateContent>
    </w:r>
    <w:r>
      <w:rPr>
        <w:rFonts w:ascii="Times New Roman" w:hAnsi="Times New Roman" w:eastAsia="Times New Roman" w:cs="Times New Roman"/>
        <w:sz w:val="24"/>
        <w:szCs w:val="24"/>
      </w:rPr>
      <w: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6317B">
    <w:pPr>
      <w:spacing w:line="176" w:lineRule="auto"/>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338E38">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6338E38">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12E2A">
    <w:pPr>
      <w:spacing w:line="179" w:lineRule="auto"/>
      <w:ind w:left="4343"/>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5A800">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775A800">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0485C">
    <w:pPr>
      <w:spacing w:line="176" w:lineRule="auto"/>
      <w:ind w:left="4351"/>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8444CE">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E8444CE">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w:t>
                    </w:r>
                    <w:r>
                      <w:rPr>
                        <w:rFonts w:hint="eastAsia" w:eastAsia="宋体"/>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A221E">
    <w:pPr>
      <w:spacing w:line="179" w:lineRule="auto"/>
      <w:ind w:left="4429"/>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A27FC2">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13</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CA27FC2">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13</w:t>
                    </w:r>
                    <w:r>
                      <w:rPr>
                        <w:rFonts w:hint="eastAsia" w:eastAsia="宋体"/>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0CE2A">
    <w:pPr>
      <w:spacing w:line="176" w:lineRule="auto"/>
      <w:ind w:left="4349"/>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77CC3C">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477CC3C">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w:t>
                    </w:r>
                    <w:r>
                      <w:rPr>
                        <w:rFonts w:hint="eastAsia" w:eastAsia="宋体"/>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D8570">
    <w:pPr>
      <w:spacing w:line="179" w:lineRule="auto"/>
      <w:ind w:left="4120"/>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7EDEBD">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15</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67EDEBD">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15</w:t>
                    </w:r>
                    <w:r>
                      <w:rPr>
                        <w:rFonts w:hint="eastAsia" w:eastAsia="宋体"/>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87696">
    <w:pPr>
      <w:spacing w:line="179" w:lineRule="auto"/>
      <w:ind w:left="4349"/>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48F70D">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16</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948F70D">
                    <w:pPr>
                      <w:pStyle w:val="7"/>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16</w:t>
                    </w:r>
                    <w:r>
                      <w:rPr>
                        <w:rFonts w:hint="eastAsia" w:eastAsia="宋体"/>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3E07DB"/>
    <w:multiLevelType w:val="singleLevel"/>
    <w:tmpl w:val="043E07DB"/>
    <w:lvl w:ilvl="0" w:tentative="0">
      <w:start w:val="1"/>
      <w:numFmt w:val="chineseCounting"/>
      <w:suff w:val="nothing"/>
      <w:lvlText w:val="（%1）"/>
      <w:lvlJc w:val="left"/>
      <w:rPr>
        <w:rFonts w:hint="eastAsia"/>
      </w:rPr>
    </w:lvl>
  </w:abstractNum>
  <w:abstractNum w:abstractNumId="1">
    <w:nsid w:val="1D702C21"/>
    <w:multiLevelType w:val="singleLevel"/>
    <w:tmpl w:val="1D702C2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YzM4MDAyNmVjNTE5NWRjM2ViYjM3MzI5N2E4MjA2MjgifQ=="/>
  </w:docVars>
  <w:rsids>
    <w:rsidRoot w:val="00000000"/>
    <w:rsid w:val="040D22E1"/>
    <w:rsid w:val="053D4A21"/>
    <w:rsid w:val="0F5D1A5D"/>
    <w:rsid w:val="11756CAC"/>
    <w:rsid w:val="1701239A"/>
    <w:rsid w:val="172B7B28"/>
    <w:rsid w:val="182D7026"/>
    <w:rsid w:val="18F0125A"/>
    <w:rsid w:val="198975A0"/>
    <w:rsid w:val="1D8F60CD"/>
    <w:rsid w:val="1F20199E"/>
    <w:rsid w:val="224C5D5A"/>
    <w:rsid w:val="22DD378A"/>
    <w:rsid w:val="2462511A"/>
    <w:rsid w:val="25491AD7"/>
    <w:rsid w:val="256E521B"/>
    <w:rsid w:val="258E33E7"/>
    <w:rsid w:val="2AF23ED4"/>
    <w:rsid w:val="2BD33FFE"/>
    <w:rsid w:val="2C0F7416"/>
    <w:rsid w:val="2CF231CA"/>
    <w:rsid w:val="2F784566"/>
    <w:rsid w:val="2FB873F1"/>
    <w:rsid w:val="32EB3544"/>
    <w:rsid w:val="34573E5F"/>
    <w:rsid w:val="36EC521C"/>
    <w:rsid w:val="3735190D"/>
    <w:rsid w:val="37913134"/>
    <w:rsid w:val="390E19B3"/>
    <w:rsid w:val="3F2A5974"/>
    <w:rsid w:val="42A630AA"/>
    <w:rsid w:val="436C131D"/>
    <w:rsid w:val="48C153CC"/>
    <w:rsid w:val="49F41077"/>
    <w:rsid w:val="4B100CF5"/>
    <w:rsid w:val="4CA53071"/>
    <w:rsid w:val="4CE129E2"/>
    <w:rsid w:val="4E1246F3"/>
    <w:rsid w:val="4ECE454D"/>
    <w:rsid w:val="502F3583"/>
    <w:rsid w:val="50F21B79"/>
    <w:rsid w:val="52312505"/>
    <w:rsid w:val="52637E16"/>
    <w:rsid w:val="526B7284"/>
    <w:rsid w:val="53206464"/>
    <w:rsid w:val="53FE2C16"/>
    <w:rsid w:val="56A54ABC"/>
    <w:rsid w:val="586811AD"/>
    <w:rsid w:val="598205E3"/>
    <w:rsid w:val="5A105AE3"/>
    <w:rsid w:val="5B25220F"/>
    <w:rsid w:val="5BE04A18"/>
    <w:rsid w:val="5E84596C"/>
    <w:rsid w:val="611F24A3"/>
    <w:rsid w:val="626A560D"/>
    <w:rsid w:val="62CC77D2"/>
    <w:rsid w:val="634A3888"/>
    <w:rsid w:val="65256A28"/>
    <w:rsid w:val="6892481D"/>
    <w:rsid w:val="6BD13F27"/>
    <w:rsid w:val="6CFF1A57"/>
    <w:rsid w:val="71947EBA"/>
    <w:rsid w:val="74665CAB"/>
    <w:rsid w:val="75F449FC"/>
    <w:rsid w:val="765C1F9D"/>
    <w:rsid w:val="77373D51"/>
    <w:rsid w:val="7812357F"/>
    <w:rsid w:val="7A8E1211"/>
    <w:rsid w:val="7AD63E26"/>
    <w:rsid w:val="7B0067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1"/>
    <w:qFormat/>
    <w:uiPriority w:val="1"/>
    <w:pPr>
      <w:keepNext/>
      <w:keepLines/>
      <w:adjustRightInd w:val="0"/>
      <w:snapToGrid w:val="0"/>
      <w:spacing w:before="260" w:after="260" w:line="416" w:lineRule="auto"/>
      <w:ind w:firstLine="600" w:firstLineChars="200"/>
      <w:outlineLvl w:val="1"/>
    </w:pPr>
    <w:rPr>
      <w:rFonts w:ascii="Arial" w:hAnsi="Arial" w:eastAsia="Symbol"/>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spacing w:after="120"/>
      <w:ind w:left="420" w:leftChars="200"/>
      <w:jc w:val="left"/>
    </w:pPr>
    <w:rPr>
      <w:rFonts w:hint="eastAsia" w:ascii="宋体" w:hAnsi="宋体" w:eastAsia="宋体"/>
      <w:kern w:val="0"/>
      <w:sz w:val="24"/>
      <w:szCs w:val="24"/>
    </w:rPr>
  </w:style>
  <w:style w:type="paragraph" w:styleId="5">
    <w:name w:val="annotation text"/>
    <w:basedOn w:val="1"/>
    <w:qFormat/>
    <w:uiPriority w:val="0"/>
    <w:pPr>
      <w:jc w:val="left"/>
    </w:p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2694</Words>
  <Characters>2862</Characters>
  <TotalTime>0</TotalTime>
  <ScaleCrop>false</ScaleCrop>
  <LinksUpToDate>false</LinksUpToDate>
  <CharactersWithSpaces>2913</CharactersWithSpaces>
  <Application>WPS Office_12.1.0.20260_F1E327BC-269C-435d-A152-05C5408002CA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2022-02-16T16:41:00Z</dcterms:created>
  <dc:creator>Lenovo User</dc:creator>
  <cp:lastModifiedBy>张犇</cp:lastModifiedBy>
  <cp:lastPrinted>2025-02-12T07:05:00Z</cp:lastPrinted>
  <dcterms:modified xsi:type="dcterms:W3CDTF">2025-02-14T01:57:17Z</dcterms:modified>
  <dc:title>内蒙古自治区XX厅</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2023-08-17T16:16:37Z</vt:filetime>
  </property>
  <property fmtid="{D5CDD505-2E9C-101B-9397-08002B2CF9AE}" pid="4" name="KSOProductBuildVer">
    <vt:lpwstr>2052-12.1.0.20260</vt:lpwstr>
  </property>
  <property fmtid="{D5CDD505-2E9C-101B-9397-08002B2CF9AE}" pid="5" name="ICV">
    <vt:lpwstr>401A54A4706944E48C1678621ABAA3A3_13</vt:lpwstr>
  </property>
  <property fmtid="{D5CDD505-2E9C-101B-9397-08002B2CF9AE}" pid="6" name="KSOTemplateDocerSaveRecord">
    <vt:lpwstr>eyJoZGlkIjoiZDM2M2ZhY2M5N2JiOTdmNDAxM2JiMDg2MjBjMjBlNmUiLCJ1c2VySWQiOiI0OTM3NDIyNzEifQ==</vt:lpwstr>
  </property>
</Properties>
</file>