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600" w:lineRule="exact"/>
        <w:jc w:val="left"/>
        <w:rPr>
          <w:rFonts w:ascii="Arial" w:hAnsi="Arial" w:eastAsia="Symbol"/>
          <w:b/>
          <w:bCs/>
          <w:sz w:val="32"/>
          <w:szCs w:val="32"/>
          <w:highlight w:val="none"/>
        </w:rPr>
      </w:pPr>
    </w:p>
    <w:p>
      <w:pPr>
        <w:pStyle w:val="14"/>
        <w:rPr>
          <w:rFonts w:hint="default"/>
          <w:highlight w:val="none"/>
        </w:rPr>
      </w:pPr>
    </w:p>
    <w:p>
      <w:pPr>
        <w:spacing w:line="600" w:lineRule="exact"/>
        <w:jc w:val="center"/>
        <w:rPr>
          <w:rFonts w:ascii="Arial" w:hAnsi="Arial" w:eastAsia="宋体"/>
          <w:b/>
          <w:bCs/>
          <w:sz w:val="32"/>
          <w:szCs w:val="32"/>
          <w:highlight w:val="none"/>
        </w:rPr>
      </w:pPr>
    </w:p>
    <w:p>
      <w:pPr>
        <w:spacing w:line="600" w:lineRule="exact"/>
        <w:jc w:val="center"/>
        <w:rPr>
          <w:rFonts w:ascii="Arial" w:hAnsi="Arial" w:eastAsia="宋体"/>
          <w:b/>
          <w:bCs/>
          <w:sz w:val="32"/>
          <w:szCs w:val="32"/>
          <w:highlight w:val="none"/>
        </w:rPr>
      </w:pPr>
    </w:p>
    <w:p>
      <w:pPr>
        <w:spacing w:line="600" w:lineRule="exact"/>
        <w:jc w:val="center"/>
        <w:rPr>
          <w:rFonts w:ascii="Arial" w:hAnsi="Arial" w:eastAsia="宋体"/>
          <w:b/>
          <w:bCs/>
          <w:sz w:val="32"/>
          <w:szCs w:val="32"/>
          <w:highlight w:val="none"/>
        </w:rPr>
      </w:pPr>
    </w:p>
    <w:p>
      <w:pPr>
        <w:spacing w:line="600" w:lineRule="exact"/>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2025</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val="en-US" w:eastAsia="zh-CN"/>
        </w:rPr>
        <w:t>内蒙古自治区医疗管理事务服务 中心单位预算公开</w:t>
      </w: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pStyle w:val="14"/>
        <w:spacing w:after="0" w:line="600" w:lineRule="exact"/>
        <w:ind w:left="0" w:leftChars="0" w:firstLine="0"/>
        <w:jc w:val="center"/>
        <w:rPr>
          <w:rFonts w:hint="default" w:ascii="黑体" w:hAnsi="黑体" w:eastAsia="黑体" w:cs="黑体"/>
          <w:sz w:val="32"/>
          <w:szCs w:val="32"/>
          <w:highlight w:val="none"/>
        </w:rPr>
      </w:pPr>
      <w:r>
        <w:rPr>
          <w:rFonts w:ascii="黑体" w:hAnsi="黑体" w:eastAsia="黑体" w:cs="黑体"/>
          <w:sz w:val="32"/>
          <w:szCs w:val="32"/>
          <w:highlight w:val="none"/>
        </w:rPr>
        <w:t xml:space="preserve">批复时间： </w:t>
      </w:r>
      <w:r>
        <w:rPr>
          <w:rFonts w:hint="eastAsia" w:ascii="黑体" w:hAnsi="黑体" w:eastAsia="黑体" w:cs="黑体"/>
          <w:sz w:val="32"/>
          <w:szCs w:val="32"/>
          <w:highlight w:val="none"/>
          <w:lang w:val="en-US" w:eastAsia="zh-CN"/>
        </w:rPr>
        <w:t>2025</w:t>
      </w:r>
      <w:r>
        <w:rPr>
          <w:rFonts w:ascii="黑体" w:hAnsi="黑体" w:eastAsia="黑体" w:cs="黑体"/>
          <w:sz w:val="32"/>
          <w:szCs w:val="32"/>
          <w:highlight w:val="none"/>
        </w:rPr>
        <w:t xml:space="preserve"> 年</w:t>
      </w:r>
      <w:r>
        <w:rPr>
          <w:rFonts w:hint="eastAsia" w:ascii="黑体" w:hAnsi="黑体" w:eastAsia="黑体" w:cs="黑体"/>
          <w:sz w:val="32"/>
          <w:szCs w:val="32"/>
          <w:highlight w:val="none"/>
          <w:lang w:val="en-US" w:eastAsia="zh-CN"/>
        </w:rPr>
        <w:t xml:space="preserve"> 1</w:t>
      </w:r>
      <w:r>
        <w:rPr>
          <w:rFonts w:ascii="黑体" w:hAnsi="黑体" w:eastAsia="黑体" w:cs="黑体"/>
          <w:sz w:val="32"/>
          <w:szCs w:val="32"/>
          <w:highlight w:val="none"/>
        </w:rPr>
        <w:t xml:space="preserve">月 </w:t>
      </w:r>
      <w:r>
        <w:rPr>
          <w:rFonts w:hint="eastAsia" w:ascii="黑体" w:hAnsi="黑体" w:eastAsia="黑体" w:cs="黑体"/>
          <w:sz w:val="32"/>
          <w:szCs w:val="32"/>
          <w:highlight w:val="none"/>
          <w:lang w:val="en-US" w:eastAsia="zh-CN"/>
        </w:rPr>
        <w:t>27</w:t>
      </w:r>
      <w:r>
        <w:rPr>
          <w:rFonts w:ascii="黑体" w:hAnsi="黑体" w:eastAsia="黑体" w:cs="黑体"/>
          <w:sz w:val="32"/>
          <w:szCs w:val="32"/>
          <w:highlight w:val="none"/>
        </w:rPr>
        <w:t>日</w:t>
      </w:r>
    </w:p>
    <w:p>
      <w:pPr>
        <w:pStyle w:val="14"/>
        <w:spacing w:after="0" w:line="600" w:lineRule="exact"/>
        <w:ind w:left="0" w:leftChars="0" w:firstLine="0"/>
        <w:jc w:val="center"/>
        <w:rPr>
          <w:rFonts w:hint="default" w:ascii="黑体" w:hAnsi="黑体" w:eastAsia="黑体" w:cs="黑体"/>
          <w:sz w:val="32"/>
          <w:szCs w:val="32"/>
          <w:highlight w:val="none"/>
        </w:rPr>
      </w:pPr>
      <w:r>
        <w:rPr>
          <w:rFonts w:ascii="黑体" w:hAnsi="黑体" w:eastAsia="黑体" w:cs="黑体"/>
          <w:sz w:val="32"/>
          <w:szCs w:val="32"/>
          <w:highlight w:val="none"/>
        </w:rPr>
        <w:t>公开时间：</w:t>
      </w:r>
      <w:r>
        <w:rPr>
          <w:rFonts w:hint="eastAsia" w:ascii="黑体" w:hAnsi="黑体" w:eastAsia="黑体" w:cs="黑体"/>
          <w:sz w:val="32"/>
          <w:szCs w:val="32"/>
          <w:highlight w:val="none"/>
          <w:lang w:val="en-US" w:eastAsia="zh-CN"/>
        </w:rPr>
        <w:t xml:space="preserve"> 2025</w:t>
      </w:r>
      <w:r>
        <w:rPr>
          <w:rFonts w:ascii="黑体" w:hAnsi="黑体" w:eastAsia="黑体" w:cs="黑体"/>
          <w:sz w:val="32"/>
          <w:szCs w:val="32"/>
          <w:highlight w:val="none"/>
        </w:rPr>
        <w:t xml:space="preserve"> 年 </w:t>
      </w:r>
      <w:r>
        <w:rPr>
          <w:rFonts w:hint="eastAsia" w:ascii="黑体" w:hAnsi="黑体" w:eastAsia="黑体" w:cs="黑体"/>
          <w:sz w:val="32"/>
          <w:szCs w:val="32"/>
          <w:highlight w:val="none"/>
          <w:lang w:val="en-US" w:eastAsia="zh-CN"/>
        </w:rPr>
        <w:t>2</w:t>
      </w:r>
      <w:r>
        <w:rPr>
          <w:rFonts w:ascii="黑体" w:hAnsi="黑体" w:eastAsia="黑体" w:cs="黑体"/>
          <w:sz w:val="32"/>
          <w:szCs w:val="32"/>
          <w:highlight w:val="none"/>
        </w:rPr>
        <w:t>月</w:t>
      </w:r>
      <w:r>
        <w:rPr>
          <w:rFonts w:hint="eastAsia" w:ascii="黑体" w:hAnsi="黑体" w:eastAsia="黑体" w:cs="黑体"/>
          <w:sz w:val="32"/>
          <w:szCs w:val="32"/>
          <w:highlight w:val="none"/>
          <w:lang w:val="en-US" w:eastAsia="zh-CN"/>
        </w:rPr>
        <w:t xml:space="preserve"> 14</w:t>
      </w:r>
      <w:r>
        <w:rPr>
          <w:rFonts w:ascii="黑体" w:hAnsi="黑体" w:eastAsia="黑体" w:cs="黑体"/>
          <w:sz w:val="32"/>
          <w:szCs w:val="32"/>
          <w:highlight w:val="none"/>
        </w:rPr>
        <w:t>日</w:t>
      </w:r>
    </w:p>
    <w:p>
      <w:pPr>
        <w:adjustRightInd w:val="0"/>
        <w:snapToGrid w:val="0"/>
        <w:spacing w:line="600" w:lineRule="exact"/>
        <w:jc w:val="left"/>
        <w:rPr>
          <w:highlight w:val="none"/>
        </w:rPr>
      </w:pPr>
    </w:p>
    <w:p>
      <w:pPr>
        <w:adjustRightInd w:val="0"/>
        <w:snapToGrid w:val="0"/>
        <w:spacing w:line="600" w:lineRule="exact"/>
        <w:ind w:firstLine="640"/>
        <w:rPr>
          <w:rFonts w:ascii="Times New Roman" w:hAnsi="Times New Roman" w:eastAsia="仿宋_GB2312"/>
          <w:sz w:val="32"/>
          <w:szCs w:val="32"/>
          <w:highlight w:val="none"/>
        </w:rPr>
      </w:pPr>
    </w:p>
    <w:p>
      <w:pPr>
        <w:pageBreakBefore/>
        <w:tabs>
          <w:tab w:val="left" w:pos="4533"/>
        </w:tabs>
        <w:adjustRightInd w:val="0"/>
        <w:snapToGrid w:val="0"/>
        <w:spacing w:line="600" w:lineRule="exact"/>
        <w:jc w:val="center"/>
        <w:rPr>
          <w:sz w:val="44"/>
          <w:szCs w:val="44"/>
          <w:highlight w:val="none"/>
        </w:rPr>
      </w:pPr>
      <w:r>
        <w:rPr>
          <w:sz w:val="44"/>
          <w:szCs w:val="44"/>
          <w:highlight w:val="none"/>
        </w:rPr>
        <w:t>目</w:t>
      </w:r>
      <w:r>
        <w:rPr>
          <w:rFonts w:hint="eastAsia" w:eastAsia="宋体"/>
          <w:sz w:val="44"/>
          <w:szCs w:val="44"/>
          <w:highlight w:val="none"/>
        </w:rPr>
        <w:t xml:space="preserve">  </w:t>
      </w:r>
      <w:r>
        <w:rPr>
          <w:rFonts w:hint="eastAsia"/>
          <w:sz w:val="44"/>
          <w:szCs w:val="44"/>
          <w:highlight w:val="none"/>
        </w:rPr>
        <w:t xml:space="preserve">  </w:t>
      </w:r>
      <w:r>
        <w:rPr>
          <w:sz w:val="44"/>
          <w:szCs w:val="44"/>
          <w:highlight w:val="none"/>
        </w:rPr>
        <w:t>录</w:t>
      </w:r>
    </w:p>
    <w:p>
      <w:pPr>
        <w:rPr>
          <w:highlight w:val="none"/>
        </w:rPr>
      </w:pPr>
    </w:p>
    <w:p>
      <w:pPr>
        <w:pStyle w:val="10"/>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第一部分 单位概况</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一、主要职能、职责</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二、单位机构设置及预算单位构成情况</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三、</w:t>
      </w:r>
      <w:r>
        <w:rPr>
          <w:rFonts w:hint="eastAsia" w:eastAsia="仿宋_GB2312" w:cs="仿宋"/>
          <w:sz w:val="32"/>
          <w:szCs w:val="32"/>
          <w:highlight w:val="none"/>
          <w:lang w:val="en-US" w:eastAsia="zh-CN"/>
        </w:rPr>
        <w:t>2025</w:t>
      </w:r>
      <w:r>
        <w:rPr>
          <w:rFonts w:hint="eastAsia" w:ascii="Times New Roman" w:hAnsi="Times New Roman" w:eastAsia="仿宋_GB2312" w:cs="仿宋"/>
          <w:sz w:val="32"/>
          <w:szCs w:val="32"/>
          <w:highlight w:val="none"/>
        </w:rPr>
        <w:t>年度单位主要工作任务及目标</w:t>
      </w:r>
    </w:p>
    <w:p>
      <w:pPr>
        <w:pStyle w:val="10"/>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 xml:space="preserve">第二部分 </w:t>
      </w:r>
      <w:r>
        <w:rPr>
          <w:rFonts w:hint="eastAsia" w:ascii="黑体" w:hAnsi="黑体" w:eastAsia="黑体" w:cs="黑体"/>
          <w:sz w:val="32"/>
          <w:szCs w:val="32"/>
          <w:highlight w:val="none"/>
          <w:lang w:val="en-US" w:eastAsia="zh-CN"/>
        </w:rPr>
        <w:t>2025</w:t>
      </w:r>
      <w:r>
        <w:rPr>
          <w:rFonts w:hint="eastAsia" w:ascii="黑体" w:hAnsi="黑体" w:eastAsia="黑体" w:cs="黑体"/>
          <w:sz w:val="32"/>
          <w:szCs w:val="32"/>
          <w:highlight w:val="none"/>
        </w:rPr>
        <w:t>年度单位预算情况说明</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一、收支预算总体情况说明</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二、收入预算情况说明</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三、支出预算情况说明</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四、财政拨款收支预算总体情况说明</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五、一般公共预算支出预算情况说明</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六、一般公共预算基本支出预算情况说明</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七、一般公共预算“三公”经费支出预算情况说明</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八、政府性基金预算支出预算情况说明</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九、国有资本经营预算支出预算情况说明</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十、项目支出预算情况说明</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十一、</w:t>
      </w:r>
      <w:r>
        <w:rPr>
          <w:rFonts w:hint="eastAsia" w:ascii="Times New Roman" w:hAnsi="Times New Roman" w:eastAsia="仿宋_GB2312" w:cs="仿宋"/>
          <w:sz w:val="32"/>
          <w:szCs w:val="32"/>
          <w:highlight w:val="none"/>
          <w:lang w:val="en-US" w:eastAsia="zh-CN"/>
        </w:rPr>
        <w:t>机构</w:t>
      </w:r>
      <w:r>
        <w:rPr>
          <w:rFonts w:hint="eastAsia" w:ascii="Times New Roman" w:hAnsi="Times New Roman" w:eastAsia="仿宋_GB2312" w:cs="仿宋"/>
          <w:sz w:val="32"/>
          <w:szCs w:val="32"/>
          <w:highlight w:val="none"/>
        </w:rPr>
        <w:t>运行经费支出预算情况说明</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十二、政府采购支出预算情况说明</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十三、国有资产占用情况说明</w:t>
      </w:r>
    </w:p>
    <w:p>
      <w:pPr>
        <w:widowControl/>
        <w:spacing w:line="600" w:lineRule="exact"/>
        <w:jc w:val="lef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 xml:space="preserve">十四、项目绩效目标情况说明 </w:t>
      </w:r>
    </w:p>
    <w:p>
      <w:pPr>
        <w:pStyle w:val="10"/>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第三部分 名词解释</w:t>
      </w:r>
    </w:p>
    <w:p>
      <w:pPr>
        <w:pStyle w:val="10"/>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第四部分 预算公开联系方式及信息反馈渠道</w:t>
      </w:r>
    </w:p>
    <w:p>
      <w:pPr>
        <w:pStyle w:val="10"/>
        <w:spacing w:after="0" w:line="600" w:lineRule="exact"/>
        <w:rPr>
          <w:rFonts w:ascii="黑体" w:hAnsi="黑体" w:eastAsia="黑体" w:cs="黑体"/>
          <w:sz w:val="32"/>
          <w:szCs w:val="32"/>
          <w:highlight w:val="none"/>
        </w:rPr>
      </w:pPr>
      <w:r>
        <w:rPr>
          <w:rFonts w:hint="eastAsia" w:ascii="黑体" w:hAnsi="黑体" w:eastAsia="黑体" w:cs="黑体"/>
          <w:sz w:val="32"/>
          <w:szCs w:val="32"/>
          <w:highlight w:val="none"/>
        </w:rPr>
        <w:t xml:space="preserve">第五部分 </w:t>
      </w:r>
      <w:r>
        <w:rPr>
          <w:rFonts w:hint="eastAsia" w:ascii="黑体" w:hAnsi="黑体" w:eastAsia="黑体" w:cs="黑体"/>
          <w:sz w:val="32"/>
          <w:szCs w:val="32"/>
          <w:highlight w:val="none"/>
          <w:lang w:val="en-US" w:eastAsia="zh-CN"/>
        </w:rPr>
        <w:t>2025</w:t>
      </w:r>
      <w:r>
        <w:rPr>
          <w:rFonts w:hint="eastAsia" w:ascii="黑体" w:hAnsi="黑体" w:eastAsia="黑体" w:cs="黑体"/>
          <w:sz w:val="32"/>
          <w:szCs w:val="32"/>
          <w:highlight w:val="none"/>
        </w:rPr>
        <w:t>年度单位预算表</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一、收支总表</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二、收入总表</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三、支出总表</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四、财政拨款收支总表</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五、一般公共预算支出表</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六、一般公共预算基本支出表</w:t>
      </w:r>
    </w:p>
    <w:p>
      <w:pPr>
        <w:pStyle w:val="10"/>
        <w:spacing w:after="0" w:line="600" w:lineRule="exact"/>
        <w:rPr>
          <w:rFonts w:ascii="Times New Roman" w:hAnsi="Times New Roman" w:eastAsia="仿宋_GB2312" w:cs="仿宋"/>
          <w:spacing w:val="-16"/>
          <w:w w:val="95"/>
          <w:sz w:val="32"/>
          <w:szCs w:val="32"/>
          <w:highlight w:val="none"/>
        </w:rPr>
      </w:pPr>
      <w:r>
        <w:rPr>
          <w:rFonts w:hint="eastAsia" w:ascii="Times New Roman" w:hAnsi="Times New Roman" w:eastAsia="仿宋_GB2312" w:cs="仿宋"/>
          <w:spacing w:val="-17"/>
          <w:w w:val="95"/>
          <w:sz w:val="32"/>
          <w:szCs w:val="32"/>
          <w:highlight w:val="none"/>
        </w:rPr>
        <w:t>七、一般公共预算</w:t>
      </w:r>
      <w:r>
        <w:rPr>
          <w:rFonts w:hint="eastAsia" w:ascii="Times New Roman" w:hAnsi="Times New Roman" w:eastAsia="仿宋_GB2312" w:cs="仿宋"/>
          <w:spacing w:val="-8"/>
          <w:w w:val="95"/>
          <w:sz w:val="32"/>
          <w:szCs w:val="32"/>
          <w:highlight w:val="none"/>
        </w:rPr>
        <w:t>“</w:t>
      </w:r>
      <w:r>
        <w:rPr>
          <w:rFonts w:hint="eastAsia" w:ascii="Times New Roman" w:hAnsi="Times New Roman" w:eastAsia="仿宋_GB2312" w:cs="仿宋"/>
          <w:spacing w:val="-15"/>
          <w:w w:val="95"/>
          <w:sz w:val="32"/>
          <w:szCs w:val="32"/>
          <w:highlight w:val="none"/>
        </w:rPr>
        <w:t>三公</w:t>
      </w:r>
      <w:r>
        <w:rPr>
          <w:rFonts w:hint="eastAsia" w:ascii="Times New Roman" w:hAnsi="Times New Roman" w:eastAsia="仿宋_GB2312" w:cs="仿宋"/>
          <w:spacing w:val="-10"/>
          <w:w w:val="95"/>
          <w:sz w:val="32"/>
          <w:szCs w:val="32"/>
          <w:highlight w:val="none"/>
        </w:rPr>
        <w:t>”</w:t>
      </w:r>
      <w:r>
        <w:rPr>
          <w:rFonts w:hint="eastAsia" w:ascii="Times New Roman" w:hAnsi="Times New Roman" w:eastAsia="仿宋_GB2312" w:cs="仿宋"/>
          <w:spacing w:val="-16"/>
          <w:w w:val="95"/>
          <w:sz w:val="32"/>
          <w:szCs w:val="32"/>
          <w:highlight w:val="none"/>
        </w:rPr>
        <w:t>经费支出表</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pacing w:val="-16"/>
          <w:w w:val="95"/>
          <w:sz w:val="32"/>
          <w:szCs w:val="32"/>
          <w:highlight w:val="none"/>
        </w:rPr>
        <w:t>八、政府性基金预算支出表</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九、国有资本经营预算支出表</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十、项目支出表</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rPr>
        <w:t>十一、项目绩效目标表</w:t>
      </w:r>
    </w:p>
    <w:p>
      <w:pPr>
        <w:pStyle w:val="10"/>
        <w:spacing w:after="0" w:line="600" w:lineRule="exact"/>
        <w:rPr>
          <w:rFonts w:ascii="Times New Roman" w:hAnsi="Times New Roman" w:eastAsia="仿宋_GB2312" w:cs="仿宋"/>
          <w:sz w:val="32"/>
          <w:szCs w:val="32"/>
          <w:highlight w:val="none"/>
        </w:rPr>
      </w:pPr>
      <w:r>
        <w:rPr>
          <w:rFonts w:hint="eastAsia" w:ascii="Times New Roman" w:hAnsi="Times New Roman" w:eastAsia="仿宋_GB2312" w:cs="仿宋"/>
          <w:w w:val="95"/>
          <w:sz w:val="32"/>
          <w:szCs w:val="32"/>
          <w:highlight w:val="none"/>
        </w:rPr>
        <w:t>十二、政府采购预算表</w:t>
      </w:r>
    </w:p>
    <w:p>
      <w:pPr>
        <w:pStyle w:val="14"/>
        <w:rPr>
          <w:rFonts w:hint="default"/>
          <w:highlight w:val="none"/>
        </w:rPr>
      </w:pPr>
    </w:p>
    <w:p>
      <w:pPr>
        <w:pStyle w:val="14"/>
        <w:rPr>
          <w:rFonts w:hint="default"/>
          <w:highlight w:val="none"/>
        </w:rPr>
        <w:sectPr>
          <w:headerReference r:id="rId3" w:type="default"/>
          <w:footerReference r:id="rId4" w:type="default"/>
          <w:pgSz w:w="11910" w:h="16840"/>
          <w:pgMar w:top="1582" w:right="1680" w:bottom="278" w:left="1640" w:header="720" w:footer="720" w:gutter="0"/>
          <w:pgNumType w:fmt="numberInDash"/>
          <w:cols w:space="0" w:num="1"/>
        </w:sectPr>
      </w:pPr>
    </w:p>
    <w:p>
      <w:pPr>
        <w:pStyle w:val="3"/>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bookmarkStart w:id="0" w:name="_Toc30742"/>
      <w:r>
        <w:rPr>
          <w:rFonts w:hint="eastAsia" w:ascii="方正小标宋简体" w:hAnsi="方正小标宋简体" w:eastAsia="方正小标宋简体" w:cs="方正小标宋简体"/>
          <w:b w:val="0"/>
          <w:bCs w:val="0"/>
          <w:sz w:val="36"/>
          <w:szCs w:val="36"/>
          <w:highlight w:val="none"/>
        </w:rPr>
        <w:t>第一部分  单位概况</w:t>
      </w:r>
      <w:bookmarkEnd w:id="0"/>
    </w:p>
    <w:p>
      <w:pPr>
        <w:spacing w:line="600" w:lineRule="exact"/>
        <w:rPr>
          <w:rFonts w:ascii="方正小标宋简体" w:hAnsi="方正小标宋简体" w:eastAsia="方正小标宋简体" w:cs="方正小标宋简体"/>
          <w:sz w:val="36"/>
          <w:szCs w:val="36"/>
          <w:highlight w:val="none"/>
        </w:rPr>
      </w:pPr>
    </w:p>
    <w:p>
      <w:pPr>
        <w:numPr>
          <w:ilvl w:val="0"/>
          <w:numId w:val="1"/>
        </w:numPr>
        <w:spacing w:line="600" w:lineRule="exact"/>
        <w:ind w:left="17" w:leftChars="8" w:firstLine="624" w:firstLineChars="195"/>
        <w:outlineLvl w:val="2"/>
        <w:rPr>
          <w:rFonts w:eastAsia="黑体" w:cs="黑体"/>
          <w:sz w:val="32"/>
          <w:szCs w:val="36"/>
          <w:highlight w:val="none"/>
        </w:rPr>
      </w:pPr>
      <w:r>
        <w:rPr>
          <w:rFonts w:hint="eastAsia" w:eastAsia="黑体" w:cs="黑体"/>
          <w:sz w:val="32"/>
          <w:szCs w:val="36"/>
          <w:highlight w:val="none"/>
        </w:rPr>
        <w:t>主要职能职责</w:t>
      </w:r>
    </w:p>
    <w:p>
      <w:pPr>
        <w:spacing w:line="600" w:lineRule="exact"/>
        <w:ind w:firstLine="640" w:firstLineChars="200"/>
        <w:rPr>
          <w:rFonts w:hint="eastAsia" w:eastAsia="仿宋_GB2312"/>
          <w:sz w:val="32"/>
          <w:szCs w:val="32"/>
          <w:lang w:eastAsia="zh-CN"/>
        </w:rPr>
      </w:pPr>
      <w:r>
        <w:rPr>
          <w:rFonts w:hint="eastAsia" w:ascii="仿宋_GB2312" w:hAnsi="Calibri" w:eastAsia="仿宋_GB2312" w:cs="Times New Roman"/>
          <w:sz w:val="32"/>
          <w:szCs w:val="32"/>
          <w:lang w:eastAsia="zh-CN"/>
        </w:rPr>
        <w:t>内蒙古</w:t>
      </w:r>
      <w:r>
        <w:rPr>
          <w:rFonts w:hint="eastAsia" w:ascii="仿宋_GB2312" w:eastAsia="仿宋_GB2312"/>
          <w:sz w:val="32"/>
          <w:szCs w:val="32"/>
        </w:rPr>
        <w:t>自治区医疗管理事务服务</w:t>
      </w:r>
      <w:r>
        <w:rPr>
          <w:rFonts w:hint="eastAsia" w:eastAsia="仿宋_GB2312"/>
          <w:sz w:val="32"/>
          <w:szCs w:val="32"/>
        </w:rPr>
        <w:t>中心是内蒙古自治区卫生健康委员会</w:t>
      </w:r>
      <w:r>
        <w:rPr>
          <w:rFonts w:hint="eastAsia" w:eastAsia="仿宋_GB2312"/>
          <w:sz w:val="32"/>
          <w:szCs w:val="32"/>
          <w:lang w:eastAsia="zh-CN"/>
        </w:rPr>
        <w:t>所属二级预算单位。</w:t>
      </w:r>
    </w:p>
    <w:p>
      <w:pPr>
        <w:spacing w:line="600" w:lineRule="exact"/>
        <w:ind w:firstLine="640" w:firstLineChars="200"/>
      </w:pPr>
      <w:r>
        <w:rPr>
          <w:rFonts w:hint="eastAsia" w:ascii="仿宋_GB2312" w:eastAsia="仿宋_GB2312"/>
          <w:sz w:val="32"/>
          <w:szCs w:val="32"/>
        </w:rPr>
        <w:t>内蒙古自治区医疗管理事务服务中心为自治区正处级公益一类事业单位</w:t>
      </w:r>
      <w:r>
        <w:rPr>
          <w:rFonts w:hint="eastAsia" w:ascii="仿宋_GB2312" w:eastAsia="仿宋_GB2312"/>
          <w:sz w:val="32"/>
          <w:szCs w:val="32"/>
          <w:lang w:eastAsia="zh-CN"/>
        </w:rPr>
        <w:t>。</w:t>
      </w:r>
      <w:r>
        <w:rPr>
          <w:rFonts w:hint="eastAsia" w:eastAsia="仿宋_GB2312"/>
          <w:sz w:val="32"/>
          <w:szCs w:val="32"/>
          <w:lang w:eastAsia="zh-CN"/>
        </w:rPr>
        <w:t>其主要职责任务是：</w:t>
      </w:r>
      <w:r>
        <w:rPr>
          <w:rFonts w:hint="eastAsia" w:ascii="仿宋_GB2312" w:eastAsia="仿宋_GB2312"/>
          <w:sz w:val="32"/>
          <w:szCs w:val="32"/>
        </w:rPr>
        <w:t>参与拟订医疗行业管理政策规范并组织实施；承担自治区医疗服务综合监管平台运行管理；协助开展医疗质量控制的相关工作；承担医疗技术临床应用管理相关工作；参与拟订医疗机构评价、公立医院运行监管和考核制度并组织实施；承担医疗机构药品、医疗器械、高值耗材临床合理使用的技术指导工作；推动社会力量办医和健康服务业发展，组织开展医疗服务相关培训和交流合作</w:t>
      </w:r>
      <w:r>
        <w:rPr>
          <w:rFonts w:hint="eastAsia" w:ascii="仿宋_GB2312" w:eastAsia="仿宋_GB2312"/>
          <w:sz w:val="32"/>
          <w:szCs w:val="32"/>
          <w:lang w:eastAsia="zh-CN"/>
        </w:rPr>
        <w:t>；</w:t>
      </w:r>
      <w:r>
        <w:rPr>
          <w:rFonts w:hint="eastAsia" w:ascii="仿宋_GB2312" w:eastAsia="仿宋_GB2312"/>
          <w:sz w:val="32"/>
          <w:szCs w:val="32"/>
        </w:rPr>
        <w:t>承担自治区卫生健康委员会交办的其他相</w:t>
      </w:r>
      <w:r>
        <w:rPr>
          <w:rFonts w:hint="eastAsia" w:ascii="楷体_GB2312" w:hAnsi="Times New Roman" w:eastAsia="楷体_GB2312" w:cs="Times New Roman"/>
          <w:sz w:val="32"/>
          <w:szCs w:val="32"/>
        </w:rPr>
        <w:t>关工作。</w:t>
      </w:r>
    </w:p>
    <w:p>
      <w:pPr>
        <w:numPr>
          <w:ilvl w:val="0"/>
          <w:numId w:val="1"/>
        </w:numPr>
        <w:spacing w:line="600" w:lineRule="exact"/>
        <w:ind w:left="17" w:leftChars="8" w:firstLine="624" w:firstLineChars="195"/>
        <w:outlineLvl w:val="2"/>
        <w:rPr>
          <w:rFonts w:eastAsia="黑体" w:cs="黑体"/>
          <w:sz w:val="32"/>
          <w:szCs w:val="36"/>
          <w:highlight w:val="none"/>
        </w:rPr>
      </w:pPr>
      <w:r>
        <w:rPr>
          <w:rFonts w:hint="eastAsia" w:eastAsia="黑体" w:cs="黑体"/>
          <w:sz w:val="32"/>
          <w:szCs w:val="36"/>
          <w:highlight w:val="none"/>
        </w:rPr>
        <w:t>单位机构设置及预算单位构成情况</w:t>
      </w:r>
    </w:p>
    <w:p>
      <w:pPr>
        <w:spacing w:line="600" w:lineRule="exact"/>
        <w:ind w:firstLine="640" w:firstLineChars="200"/>
        <w:rPr>
          <w:rFonts w:hint="eastAsia" w:eastAsia="仿宋_GB2312" w:cstheme="minorBidi"/>
          <w:sz w:val="32"/>
          <w:szCs w:val="32"/>
          <w:highlight w:val="none"/>
        </w:rPr>
      </w:pPr>
      <w:r>
        <w:rPr>
          <w:rFonts w:hint="eastAsia" w:eastAsia="仿宋_GB2312" w:cstheme="minorBidi"/>
          <w:sz w:val="32"/>
          <w:szCs w:val="32"/>
          <w:highlight w:val="none"/>
        </w:rPr>
        <w:t>1．根据单位职责分工，本单位内设机构包括</w:t>
      </w:r>
      <w:r>
        <w:rPr>
          <w:rFonts w:hint="eastAsia" w:ascii="仿宋_GB2312" w:eastAsia="仿宋_GB2312"/>
          <w:sz w:val="32"/>
          <w:szCs w:val="32"/>
        </w:rPr>
        <w:t>办公室、信息服务科、质量安全科、技术应用科、运行评价科、药械监测科</w:t>
      </w:r>
      <w:r>
        <w:rPr>
          <w:rFonts w:hint="eastAsia" w:eastAsia="仿宋_GB2312" w:cstheme="minorBidi"/>
          <w:sz w:val="32"/>
          <w:szCs w:val="32"/>
          <w:highlight w:val="none"/>
        </w:rPr>
        <w:t>。本单位无下属单位。</w:t>
      </w:r>
    </w:p>
    <w:p>
      <w:pPr>
        <w:spacing w:line="600" w:lineRule="exact"/>
        <w:ind w:firstLine="640" w:firstLineChars="200"/>
        <w:rPr>
          <w:rFonts w:ascii="仿宋_GB2312" w:hAnsi="仿宋_GB2312" w:eastAsia="仿宋_GB2312" w:cs="仿宋_GB2312"/>
          <w:b/>
          <w:bCs/>
          <w:sz w:val="32"/>
          <w:szCs w:val="32"/>
          <w:highlight w:val="none"/>
        </w:rPr>
      </w:pPr>
      <w:r>
        <w:rPr>
          <w:rFonts w:hint="eastAsia" w:eastAsia="仿宋_GB2312" w:cstheme="minorBidi"/>
          <w:sz w:val="32"/>
          <w:szCs w:val="32"/>
          <w:highlight w:val="none"/>
        </w:rPr>
        <w:t>2．从预算单位构成看，纳入本单位</w:t>
      </w:r>
      <w:r>
        <w:rPr>
          <w:rFonts w:hint="eastAsia" w:eastAsia="仿宋_GB2312" w:cstheme="minorBidi"/>
          <w:sz w:val="32"/>
          <w:szCs w:val="32"/>
          <w:highlight w:val="none"/>
          <w:lang w:val="en-US" w:eastAsia="zh-CN"/>
        </w:rPr>
        <w:t>2025</w:t>
      </w:r>
      <w:r>
        <w:rPr>
          <w:rFonts w:hint="eastAsia" w:eastAsia="仿宋_GB2312" w:cstheme="minorBidi"/>
          <w:sz w:val="32"/>
          <w:szCs w:val="32"/>
          <w:highlight w:val="none"/>
        </w:rPr>
        <w:t>年部门汇总预算编制范围的预算单位共计</w:t>
      </w:r>
      <w:r>
        <w:rPr>
          <w:rFonts w:hint="eastAsia" w:ascii="仿宋_GB2312" w:hAnsi="仿宋_GB2312" w:eastAsia="仿宋_GB2312" w:cs="仿宋"/>
          <w:sz w:val="32"/>
          <w:szCs w:val="32"/>
          <w:highlight w:val="none"/>
          <w:lang w:val="en-US" w:eastAsia="zh-CN"/>
        </w:rPr>
        <w:t>1</w:t>
      </w:r>
      <w:r>
        <w:rPr>
          <w:rFonts w:hint="eastAsia" w:eastAsia="仿宋_GB2312" w:cstheme="minorBidi"/>
          <w:sz w:val="32"/>
          <w:szCs w:val="32"/>
          <w:highlight w:val="none"/>
        </w:rPr>
        <w:t>家，具体</w:t>
      </w:r>
      <w:r>
        <w:rPr>
          <w:rFonts w:hint="eastAsia" w:eastAsia="仿宋_GB2312" w:cstheme="minorBidi"/>
          <w:sz w:val="32"/>
          <w:szCs w:val="32"/>
          <w:highlight w:val="none"/>
          <w:lang w:val="en-US" w:eastAsia="zh-CN"/>
        </w:rPr>
        <w:t>为</w:t>
      </w:r>
      <w:r>
        <w:rPr>
          <w:rFonts w:hint="eastAsia" w:eastAsia="仿宋_GB2312" w:cstheme="minorBidi"/>
          <w:sz w:val="32"/>
          <w:szCs w:val="32"/>
          <w:highlight w:val="none"/>
        </w:rPr>
        <w:t>：</w:t>
      </w:r>
      <w:r>
        <w:rPr>
          <w:rFonts w:hint="eastAsia" w:ascii="仿宋_GB2312" w:hAnsi="仿宋_GB2312" w:eastAsia="仿宋_GB2312" w:cs="仿宋"/>
          <w:sz w:val="32"/>
          <w:szCs w:val="32"/>
          <w:highlight w:val="none"/>
          <w:lang w:val="en-US" w:eastAsia="zh-CN"/>
        </w:rPr>
        <w:t>内蒙古自治区医疗管理事务服务中心</w:t>
      </w:r>
      <w:r>
        <w:rPr>
          <w:rFonts w:hint="eastAsia" w:eastAsia="仿宋_GB2312" w:cstheme="minorBidi"/>
          <w:sz w:val="32"/>
          <w:szCs w:val="32"/>
          <w:highlight w:val="none"/>
        </w:rPr>
        <w:t>。详细情况见表：</w:t>
      </w:r>
    </w:p>
    <w:tbl>
      <w:tblPr>
        <w:tblStyle w:val="23"/>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0"/>
        <w:gridCol w:w="5550"/>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0" w:type="dxa"/>
          </w:tcPr>
          <w:p>
            <w:pPr>
              <w:widowControl/>
              <w:jc w:val="center"/>
              <w:rPr>
                <w:rFonts w:ascii="仿宋" w:hAnsi="仿宋" w:eastAsia="仿宋" w:cs="仿宋"/>
                <w:color w:val="000000"/>
                <w:kern w:val="0"/>
                <w:sz w:val="31"/>
                <w:szCs w:val="31"/>
                <w:highlight w:val="none"/>
                <w:lang w:bidi="ar"/>
              </w:rPr>
            </w:pPr>
            <w:r>
              <w:rPr>
                <w:rFonts w:hint="eastAsia" w:ascii="Times New Roman" w:hAnsi="Times New Roman" w:eastAsia="仿宋_GB2312" w:cs="仿宋"/>
                <w:color w:val="000000"/>
                <w:kern w:val="0"/>
                <w:sz w:val="31"/>
                <w:szCs w:val="31"/>
                <w:highlight w:val="none"/>
                <w:lang w:bidi="ar"/>
              </w:rPr>
              <w:t>序号</w:t>
            </w:r>
          </w:p>
        </w:tc>
        <w:tc>
          <w:tcPr>
            <w:tcW w:w="5550" w:type="dxa"/>
            <w:vAlign w:val="center"/>
          </w:tcPr>
          <w:p>
            <w:pPr>
              <w:widowControl/>
              <w:jc w:val="center"/>
              <w:rPr>
                <w:rFonts w:ascii="仿宋" w:hAnsi="仿宋" w:eastAsia="仿宋" w:cs="仿宋"/>
                <w:color w:val="000000"/>
                <w:kern w:val="0"/>
                <w:sz w:val="31"/>
                <w:szCs w:val="31"/>
                <w:highlight w:val="none"/>
                <w:lang w:bidi="ar"/>
              </w:rPr>
            </w:pPr>
            <w:r>
              <w:rPr>
                <w:rFonts w:hint="eastAsia" w:ascii="Times New Roman" w:hAnsi="Times New Roman" w:eastAsia="仿宋_GB2312" w:cs="仿宋"/>
                <w:color w:val="000000"/>
                <w:kern w:val="0"/>
                <w:sz w:val="31"/>
                <w:szCs w:val="31"/>
                <w:highlight w:val="none"/>
                <w:lang w:bidi="ar"/>
              </w:rPr>
              <w:t>单位名称</w:t>
            </w:r>
          </w:p>
        </w:tc>
        <w:tc>
          <w:tcPr>
            <w:tcW w:w="2700" w:type="dxa"/>
            <w:vAlign w:val="center"/>
          </w:tcPr>
          <w:p>
            <w:pPr>
              <w:widowControl/>
              <w:jc w:val="center"/>
              <w:rPr>
                <w:rFonts w:ascii="仿宋" w:hAnsi="仿宋" w:eastAsia="仿宋" w:cs="仿宋"/>
                <w:color w:val="000000"/>
                <w:kern w:val="0"/>
                <w:sz w:val="31"/>
                <w:szCs w:val="31"/>
                <w:highlight w:val="none"/>
                <w:lang w:bidi="ar"/>
              </w:rPr>
            </w:pPr>
            <w:r>
              <w:rPr>
                <w:rFonts w:hint="eastAsia" w:ascii="Times New Roman" w:hAnsi="Times New Roman" w:eastAsia="仿宋_GB2312" w:cs="仿宋"/>
                <w:color w:val="000000"/>
                <w:kern w:val="0"/>
                <w:sz w:val="31"/>
                <w:szCs w:val="31"/>
                <w:highlight w:val="none"/>
                <w:lang w:bidi="ar"/>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30" w:type="dxa"/>
            <w:vAlign w:val="center"/>
          </w:tcPr>
          <w:p>
            <w:pPr>
              <w:widowControl/>
              <w:jc w:val="center"/>
              <w:rPr>
                <w:rFonts w:hint="eastAsia" w:ascii="仿宋" w:hAnsi="仿宋" w:eastAsia="仿宋" w:cs="仿宋"/>
                <w:color w:val="000000"/>
                <w:kern w:val="0"/>
                <w:sz w:val="31"/>
                <w:szCs w:val="31"/>
                <w:highlight w:val="none"/>
                <w:lang w:eastAsia="zh-CN" w:bidi="ar"/>
              </w:rPr>
            </w:pPr>
            <w:r>
              <w:rPr>
                <w:rFonts w:hint="eastAsia" w:eastAsia="仿宋_GB2312" w:cs="仿宋"/>
                <w:color w:val="000000"/>
                <w:kern w:val="0"/>
                <w:sz w:val="31"/>
                <w:szCs w:val="31"/>
                <w:highlight w:val="none"/>
                <w:lang w:val="en-US" w:eastAsia="zh-CN" w:bidi="ar"/>
              </w:rPr>
              <w:t>1</w:t>
            </w:r>
          </w:p>
        </w:tc>
        <w:tc>
          <w:tcPr>
            <w:tcW w:w="5550" w:type="dxa"/>
          </w:tcPr>
          <w:p>
            <w:pPr>
              <w:widowControl/>
              <w:jc w:val="left"/>
              <w:rPr>
                <w:rFonts w:hint="default" w:ascii="仿宋" w:hAnsi="仿宋" w:eastAsia="仿宋" w:cs="仿宋"/>
                <w:color w:val="000000"/>
                <w:kern w:val="0"/>
                <w:sz w:val="31"/>
                <w:szCs w:val="31"/>
                <w:highlight w:val="none"/>
                <w:lang w:val="en-US" w:eastAsia="zh-CN" w:bidi="ar"/>
              </w:rPr>
            </w:pPr>
            <w:r>
              <w:rPr>
                <w:rFonts w:hint="eastAsia" w:ascii="仿宋_GB2312" w:hAnsi="仿宋_GB2312" w:eastAsia="仿宋_GB2312" w:cs="仿宋"/>
                <w:color w:val="000000"/>
                <w:kern w:val="0"/>
                <w:sz w:val="31"/>
                <w:szCs w:val="31"/>
                <w:highlight w:val="none"/>
                <w:lang w:val="en-US" w:eastAsia="zh-CN" w:bidi="ar"/>
              </w:rPr>
              <w:t>内蒙古自治区医疗管理事务服务中心</w:t>
            </w:r>
          </w:p>
        </w:tc>
        <w:tc>
          <w:tcPr>
            <w:tcW w:w="2700" w:type="dxa"/>
          </w:tcPr>
          <w:p>
            <w:pPr>
              <w:widowControl/>
              <w:jc w:val="left"/>
              <w:rPr>
                <w:rFonts w:ascii="仿宋" w:hAnsi="仿宋" w:eastAsia="仿宋" w:cs="仿宋"/>
                <w:color w:val="000000"/>
                <w:kern w:val="0"/>
                <w:sz w:val="31"/>
                <w:szCs w:val="31"/>
                <w:highlight w:val="none"/>
                <w:lang w:bidi="ar"/>
              </w:rPr>
            </w:pPr>
            <w:r>
              <w:rPr>
                <w:rFonts w:hint="eastAsia" w:ascii="Times New Roman" w:hAnsi="Times New Roman" w:eastAsia="仿宋_GB2312" w:cs="仿宋"/>
                <w:color w:val="000000"/>
                <w:kern w:val="0"/>
                <w:sz w:val="31"/>
                <w:szCs w:val="31"/>
                <w:highlight w:val="none"/>
                <w:lang w:bidi="ar"/>
              </w:rPr>
              <w:t>公益一类事业单位</w:t>
            </w:r>
          </w:p>
        </w:tc>
      </w:tr>
    </w:tbl>
    <w:p>
      <w:pPr>
        <w:numPr>
          <w:ilvl w:val="0"/>
          <w:numId w:val="1"/>
        </w:numPr>
        <w:spacing w:line="600" w:lineRule="exact"/>
        <w:ind w:left="17" w:leftChars="8" w:firstLine="624" w:firstLineChars="195"/>
        <w:outlineLvl w:val="2"/>
        <w:rPr>
          <w:rFonts w:hint="eastAsia" w:eastAsia="黑体" w:cs="黑体"/>
          <w:sz w:val="32"/>
          <w:szCs w:val="36"/>
          <w:highlight w:val="none"/>
        </w:rPr>
      </w:pPr>
      <w:r>
        <w:rPr>
          <w:rFonts w:hint="eastAsia" w:eastAsia="黑体" w:cs="黑体"/>
          <w:sz w:val="32"/>
          <w:szCs w:val="36"/>
          <w:highlight w:val="none"/>
          <w:lang w:val="en-US" w:eastAsia="zh-CN"/>
        </w:rPr>
        <w:t>2025</w:t>
      </w:r>
      <w:r>
        <w:rPr>
          <w:rFonts w:hint="eastAsia" w:eastAsia="黑体" w:cs="黑体"/>
          <w:sz w:val="32"/>
          <w:szCs w:val="36"/>
          <w:highlight w:val="none"/>
        </w:rPr>
        <w:t>年度单位主要工作任务及目标</w:t>
      </w:r>
    </w:p>
    <w:p>
      <w:pPr>
        <w:spacing w:line="560" w:lineRule="exact"/>
        <w:ind w:firstLine="640" w:firstLineChars="200"/>
        <w:rPr>
          <w:rFonts w:hint="eastAsia" w:ascii="楷体_GB2312" w:hAnsi="楷体" w:eastAsia="楷体_GB2312"/>
          <w:sz w:val="32"/>
          <w:szCs w:val="32"/>
        </w:rPr>
      </w:pPr>
      <w:r>
        <w:rPr>
          <w:rFonts w:hint="eastAsia" w:ascii="楷体_GB2312" w:hAnsi="楷体" w:eastAsia="楷体_GB2312"/>
          <w:sz w:val="32"/>
          <w:szCs w:val="32"/>
        </w:rPr>
        <w:t>（一）助力津蒙协作，与天津医评中心建立合作交流</w:t>
      </w:r>
    </w:p>
    <w:p>
      <w:pPr>
        <w:spacing w:line="560" w:lineRule="exact"/>
        <w:ind w:firstLine="640" w:firstLineChars="200"/>
        <w:rPr>
          <w:rFonts w:hint="eastAsia"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以内蒙古自治区与天津市开展卫生健康领域首批合作为契机，自治区医疗管理事务服务中心将与天津市医疗服务评价和指导中心签订合作交流协议，通过开展专项调研、课题研究、技术指导和人才交流等形式，在医疗质量管理、信息管理、考核与评审评价、药械监测、人才培养等方面提升中心综合实力，实现优势互补、信息互通、能力共享、互利共赢，促进两地卫生健康事业高质量发展的目标。</w:t>
      </w:r>
    </w:p>
    <w:p>
      <w:pPr>
        <w:spacing w:line="560" w:lineRule="exact"/>
        <w:ind w:firstLine="640" w:firstLineChars="200"/>
        <w:rPr>
          <w:rFonts w:hint="eastAsia" w:ascii="楷体_GB2312" w:hAnsi="楷体" w:eastAsia="楷体_GB2312"/>
          <w:sz w:val="32"/>
          <w:szCs w:val="32"/>
        </w:rPr>
      </w:pPr>
      <w:r>
        <w:rPr>
          <w:rFonts w:hint="eastAsia" w:ascii="楷体_GB2312" w:hAnsi="楷体" w:eastAsia="楷体_GB2312"/>
          <w:sz w:val="32"/>
          <w:szCs w:val="32"/>
        </w:rPr>
        <w:t>（二）继续推进全区电子病历应用水平分级评价工作</w:t>
      </w:r>
    </w:p>
    <w:p>
      <w:pPr>
        <w:spacing w:line="560" w:lineRule="exact"/>
        <w:ind w:firstLine="672" w:firstLineChars="200"/>
        <w:rPr>
          <w:rFonts w:hint="eastAsia" w:ascii="仿宋_GB2312" w:hAnsi="方正仿宋_GB2312" w:eastAsia="仿宋_GB2312" w:cs="方正仿宋_GB2312"/>
          <w:sz w:val="32"/>
          <w:szCs w:val="32"/>
        </w:rPr>
      </w:pPr>
      <w:r>
        <w:rPr>
          <w:rFonts w:ascii="Times New Roman" w:hAnsi="Times New Roman" w:eastAsia="仿宋_GB2312" w:cs="Times New Roman"/>
          <w:spacing w:val="8"/>
          <w:sz w:val="32"/>
          <w:szCs w:val="32"/>
          <w:shd w:val="clear" w:color="auto" w:fill="FFFFFF"/>
        </w:rPr>
        <w:t>2025</w:t>
      </w:r>
      <w:r>
        <w:rPr>
          <w:rFonts w:hint="eastAsia" w:ascii="仿宋_GB2312" w:hAnsi="方正仿宋_GB2312" w:eastAsia="仿宋_GB2312" w:cs="方正仿宋_GB2312"/>
          <w:sz w:val="32"/>
          <w:szCs w:val="32"/>
        </w:rPr>
        <w:t>年中心将以加快推进卫生健康信息化工作作为年度重点工作。根据全区二级及以上公立医院电子病历系统建设和应用水平调研结果，有针对性地解决医疗机构电子病历系统建设中存在的问题。同时，</w:t>
      </w:r>
      <w:r>
        <w:rPr>
          <w:rFonts w:hint="eastAsia" w:ascii="仿宋_GB2312" w:hAnsi="宋体" w:eastAsia="仿宋_GB2312" w:cs="宋体"/>
          <w:sz w:val="32"/>
          <w:szCs w:val="32"/>
        </w:rPr>
        <w:t>继续坚持</w:t>
      </w:r>
      <w:r>
        <w:rPr>
          <w:rFonts w:hint="eastAsia" w:ascii="仿宋_GB2312" w:hAnsi="方正仿宋_GB2312" w:eastAsia="仿宋_GB2312" w:cs="方正仿宋_GB2312"/>
          <w:sz w:val="32"/>
          <w:szCs w:val="32"/>
        </w:rPr>
        <w:t>以评促建、以评促改、以评促用，组织开展全区电子病历系统应用水平分级评价及相关培训工作，加大实地开展电子病历系统应用技术指导工作的力度，持续提高自治区电子病历整体水平，推动全区医疗机构信息化和智慧医院建设再上新台阶。</w:t>
      </w:r>
    </w:p>
    <w:p>
      <w:pPr>
        <w:spacing w:line="560" w:lineRule="exact"/>
        <w:ind w:firstLine="640" w:firstLineChars="200"/>
        <w:rPr>
          <w:rFonts w:hint="eastAsia" w:ascii="楷体_GB2312" w:hAnsi="楷体" w:eastAsia="楷体_GB2312"/>
          <w:sz w:val="32"/>
          <w:szCs w:val="32"/>
        </w:rPr>
      </w:pPr>
      <w:r>
        <w:rPr>
          <w:rFonts w:hint="eastAsia" w:ascii="楷体_GB2312" w:hAnsi="楷体" w:eastAsia="楷体_GB2312"/>
          <w:sz w:val="32"/>
          <w:szCs w:val="32"/>
        </w:rPr>
        <w:t>（三）以考核促进步，多方位开展绩效考核工作</w:t>
      </w:r>
    </w:p>
    <w:p>
      <w:pPr>
        <w:spacing w:line="560" w:lineRule="exact"/>
        <w:ind w:firstLine="640" w:firstLineChars="200"/>
        <w:rPr>
          <w:rFonts w:hint="eastAsia"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持续协助中医（蒙医）绩效考核相关工作，对全区二级、三级公立中医（蒙医）医院绩效考核情况进行数据分析，针对国家监测指标展开分析指导工作；配合委中蒙医处对全区三级、二级公立中医（蒙医）医院绩效考核填报进行督导。</w:t>
      </w:r>
    </w:p>
    <w:p>
      <w:pPr>
        <w:spacing w:line="560" w:lineRule="exact"/>
        <w:ind w:firstLine="640" w:firstLineChars="200"/>
        <w:rPr>
          <w:rFonts w:hint="eastAsia" w:ascii="楷体_GB2312" w:hAnsi="楷体" w:eastAsia="楷体_GB2312"/>
          <w:sz w:val="32"/>
          <w:szCs w:val="32"/>
        </w:rPr>
      </w:pPr>
      <w:r>
        <w:rPr>
          <w:rFonts w:hint="eastAsia" w:ascii="楷体_GB2312" w:hAnsi="楷体" w:eastAsia="楷体_GB2312"/>
          <w:sz w:val="32"/>
          <w:szCs w:val="32"/>
        </w:rPr>
        <w:t>（四）调研跟踪问效，持续跟进相关工作</w:t>
      </w:r>
    </w:p>
    <w:p>
      <w:pPr>
        <w:spacing w:line="560" w:lineRule="exact"/>
        <w:ind w:left="10" w:firstLine="617" w:firstLineChars="193"/>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ascii="Times New Roman" w:hAnsi="Times New Roman" w:eastAsia="仿宋_GB2312" w:cs="Times New Roman"/>
          <w:sz w:val="32"/>
          <w:szCs w:val="32"/>
        </w:rPr>
        <w:t>2024</w:t>
      </w:r>
      <w:r>
        <w:rPr>
          <w:rFonts w:hint="eastAsia" w:ascii="仿宋_GB2312" w:hAnsi="仿宋_GB2312" w:eastAsia="仿宋_GB2312" w:cs="仿宋_GB2312"/>
          <w:sz w:val="32"/>
          <w:szCs w:val="32"/>
        </w:rPr>
        <w:t>年调查研究的结果，统筹安排</w:t>
      </w:r>
      <w:r>
        <w:rPr>
          <w:rFonts w:ascii="Times New Roman" w:hAnsi="Times New Roman" w:eastAsia="仿宋_GB2312" w:cs="Times New Roman"/>
          <w:sz w:val="32"/>
          <w:szCs w:val="32"/>
        </w:rPr>
        <w:t>2025</w:t>
      </w:r>
      <w:r>
        <w:rPr>
          <w:rFonts w:hint="eastAsia" w:ascii="仿宋_GB2312" w:hAnsi="仿宋_GB2312" w:eastAsia="仿宋_GB2312" w:cs="仿宋_GB2312"/>
          <w:sz w:val="32"/>
          <w:szCs w:val="32"/>
        </w:rPr>
        <w:t>年麻精药品及医疗废物管理相关工作，对目前调查研究发现的问题进行长期跟踪，保证管理举措落地见效。</w:t>
      </w:r>
    </w:p>
    <w:p>
      <w:pPr>
        <w:spacing w:line="560" w:lineRule="exact"/>
        <w:ind w:left="10" w:firstLine="617" w:firstLineChars="193"/>
        <w:rPr>
          <w:rFonts w:hint="eastAsia" w:eastAsia="黑体" w:cs="黑体"/>
          <w:sz w:val="32"/>
          <w:szCs w:val="36"/>
          <w:highlight w:val="none"/>
        </w:rPr>
      </w:pPr>
      <w:r>
        <w:rPr>
          <w:rFonts w:hint="eastAsia" w:ascii="仿宋_GB2312" w:hAnsi="仿宋_GB2312" w:eastAsia="仿宋_GB2312" w:cs="仿宋_GB2312"/>
          <w:sz w:val="32"/>
          <w:szCs w:val="32"/>
        </w:rPr>
        <w:t>中心将继续全力配合卫生健康委各处室，承担委托的各项工作任务。</w:t>
      </w:r>
    </w:p>
    <w:p>
      <w:pPr>
        <w:pStyle w:val="3"/>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bookmarkStart w:id="1" w:name="_Toc21288"/>
      <w:r>
        <w:rPr>
          <w:rFonts w:hint="eastAsia" w:ascii="方正小标宋简体" w:hAnsi="方正小标宋简体" w:eastAsia="方正小标宋简体" w:cs="方正小标宋简体"/>
          <w:b w:val="0"/>
          <w:bCs w:val="0"/>
          <w:sz w:val="36"/>
          <w:szCs w:val="36"/>
          <w:highlight w:val="none"/>
        </w:rPr>
        <w:t>第二部分</w:t>
      </w:r>
      <w:r>
        <w:rPr>
          <w:rFonts w:hint="eastAsia" w:ascii="方正小标宋简体" w:hAnsi="方正小标宋简体" w:eastAsia="方正小标宋简体" w:cs="方正小标宋简体"/>
          <w:b w:val="0"/>
          <w:bCs w:val="0"/>
          <w:sz w:val="36"/>
          <w:szCs w:val="36"/>
          <w:highlight w:val="none"/>
          <w:lang w:val="en-US" w:eastAsia="zh-CN"/>
        </w:rPr>
        <w:t xml:space="preserve">  2025</w:t>
      </w:r>
      <w:r>
        <w:rPr>
          <w:rFonts w:hint="eastAsia" w:ascii="方正小标宋简体" w:hAnsi="方正小标宋简体" w:eastAsia="方正小标宋简体" w:cs="方正小标宋简体"/>
          <w:b w:val="0"/>
          <w:bCs w:val="0"/>
          <w:sz w:val="36"/>
          <w:szCs w:val="36"/>
          <w:highlight w:val="none"/>
        </w:rPr>
        <w:t>年度单位预算情况说明</w:t>
      </w:r>
      <w:bookmarkEnd w:id="1"/>
    </w:p>
    <w:p>
      <w:pPr>
        <w:spacing w:line="600" w:lineRule="exact"/>
        <w:rPr>
          <w:rFonts w:ascii="方正小标宋简体" w:hAnsi="方正小标宋简体" w:eastAsia="方正小标宋简体" w:cs="方正小标宋简体"/>
          <w:sz w:val="36"/>
          <w:szCs w:val="36"/>
          <w:highlight w:val="none"/>
        </w:rPr>
      </w:pP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一、收支预算总体情况说明</w:t>
      </w:r>
    </w:p>
    <w:p>
      <w:pPr>
        <w:pStyle w:val="10"/>
        <w:tabs>
          <w:tab w:val="left" w:pos="5840"/>
          <w:tab w:val="left" w:pos="7858"/>
          <w:tab w:val="left" w:pos="9328"/>
        </w:tabs>
        <w:spacing w:after="0"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内蒙古自治区医疗管理事务服务中心2025</w:t>
      </w:r>
      <w:r>
        <w:rPr>
          <w:rFonts w:hint="eastAsia" w:ascii="仿宋_GB2312" w:hAnsi="仿宋_GB2312" w:eastAsia="仿宋_GB2312" w:cs="仿宋_GB2312"/>
          <w:sz w:val="32"/>
          <w:szCs w:val="32"/>
          <w:highlight w:val="none"/>
        </w:rPr>
        <w:t>年度收入、支出预算总计</w:t>
      </w:r>
      <w:r>
        <w:rPr>
          <w:rFonts w:hint="eastAsia" w:ascii="仿宋_GB2312" w:hAnsi="仿宋_GB2312" w:eastAsia="仿宋_GB2312" w:cs="仿宋_GB2312"/>
          <w:sz w:val="32"/>
          <w:szCs w:val="32"/>
          <w:highlight w:val="none"/>
          <w:lang w:val="en-US" w:eastAsia="zh-CN"/>
        </w:rPr>
        <w:t>583.96</w:t>
      </w:r>
      <w:r>
        <w:rPr>
          <w:rFonts w:hint="eastAsia" w:ascii="仿宋_GB2312" w:hAnsi="仿宋_GB2312" w:eastAsia="仿宋_GB2312" w:cs="仿宋_GB2312"/>
          <w:sz w:val="32"/>
          <w:szCs w:val="32"/>
          <w:highlight w:val="none"/>
        </w:rPr>
        <w:t>万元，与上年相比收、支预算总计各增加</w:t>
      </w:r>
      <w:r>
        <w:rPr>
          <w:rFonts w:hint="eastAsia" w:ascii="仿宋_GB2312" w:hAnsi="仿宋_GB2312" w:eastAsia="仿宋_GB2312" w:cs="仿宋_GB2312"/>
          <w:sz w:val="32"/>
          <w:szCs w:val="32"/>
          <w:highlight w:val="none"/>
          <w:lang w:val="en-US" w:eastAsia="zh-CN"/>
        </w:rPr>
        <w:t>13.01</w:t>
      </w:r>
      <w:r>
        <w:rPr>
          <w:rFonts w:hint="eastAsia" w:ascii="仿宋_GB2312" w:hAnsi="仿宋_GB2312" w:eastAsia="仿宋_GB2312" w:cs="仿宋_GB2312"/>
          <w:sz w:val="32"/>
          <w:szCs w:val="32"/>
          <w:highlight w:val="none"/>
          <w:u w:val="single"/>
        </w:rPr>
        <w:t xml:space="preserve">    </w:t>
      </w:r>
      <w:r>
        <w:rPr>
          <w:rFonts w:hint="eastAsia" w:ascii="仿宋_GB2312" w:hAnsi="仿宋_GB2312" w:eastAsia="仿宋_GB2312" w:cs="仿宋_GB2312"/>
          <w:sz w:val="32"/>
          <w:szCs w:val="32"/>
          <w:highlight w:val="none"/>
        </w:rPr>
        <w:t>万元，增长</w:t>
      </w:r>
      <w:r>
        <w:rPr>
          <w:rFonts w:hint="eastAsia" w:ascii="仿宋_GB2312" w:hAnsi="仿宋_GB2312" w:eastAsia="仿宋_GB2312" w:cs="仿宋_GB2312"/>
          <w:sz w:val="32"/>
          <w:szCs w:val="32"/>
          <w:highlight w:val="none"/>
          <w:lang w:val="en-US" w:eastAsia="zh-CN"/>
        </w:rPr>
        <w:t>2.28</w:t>
      </w:r>
      <w:r>
        <w:rPr>
          <w:rFonts w:hint="eastAsia" w:ascii="仿宋_GB2312" w:hAnsi="仿宋_GB2312" w:eastAsia="仿宋_GB2312" w:cs="仿宋_GB2312"/>
          <w:sz w:val="32"/>
          <w:szCs w:val="32"/>
          <w:highlight w:val="none"/>
        </w:rPr>
        <w:t>%。其中：</w:t>
      </w:r>
    </w:p>
    <w:p>
      <w:pPr>
        <w:pStyle w:val="10"/>
        <w:tabs>
          <w:tab w:val="left" w:pos="4275"/>
        </w:tabs>
        <w:spacing w:after="0" w:line="600" w:lineRule="exact"/>
        <w:ind w:firstLine="643" w:firstLineChars="200"/>
        <w:rPr>
          <w:rFonts w:ascii="楷体" w:hAnsi="楷体" w:eastAsia="楷体" w:cs="楷体"/>
          <w:b/>
          <w:bCs/>
          <w:sz w:val="32"/>
          <w:szCs w:val="32"/>
          <w:highlight w:val="none"/>
        </w:rPr>
      </w:pPr>
      <w:r>
        <w:rPr>
          <w:rFonts w:hint="eastAsia" w:ascii="楷体" w:hAnsi="楷体" w:eastAsia="楷体" w:cs="楷体"/>
          <w:b/>
          <w:bCs/>
          <w:sz w:val="32"/>
          <w:szCs w:val="32"/>
          <w:highlight w:val="none"/>
        </w:rPr>
        <w:t>（一）收入预算总计</w:t>
      </w:r>
      <w:r>
        <w:rPr>
          <w:rFonts w:hint="eastAsia" w:ascii="楷体" w:hAnsi="楷体" w:eastAsia="楷体" w:cs="楷体"/>
          <w:b/>
          <w:bCs/>
          <w:sz w:val="32"/>
          <w:szCs w:val="32"/>
          <w:highlight w:val="none"/>
          <w:lang w:val="en-US" w:eastAsia="zh-CN"/>
        </w:rPr>
        <w:t>583.96</w:t>
      </w:r>
      <w:r>
        <w:rPr>
          <w:rFonts w:hint="eastAsia" w:ascii="楷体" w:hAnsi="楷体" w:eastAsia="楷体" w:cs="楷体"/>
          <w:b/>
          <w:bCs/>
          <w:sz w:val="32"/>
          <w:szCs w:val="32"/>
          <w:highlight w:val="none"/>
        </w:rPr>
        <w:t>万元。包括：</w:t>
      </w:r>
    </w:p>
    <w:p>
      <w:pPr>
        <w:pStyle w:val="10"/>
        <w:tabs>
          <w:tab w:val="left" w:pos="3792"/>
        </w:tabs>
        <w:spacing w:after="0" w:line="600" w:lineRule="exact"/>
        <w:ind w:firstLine="640" w:firstLineChars="200"/>
        <w:rPr>
          <w:rFonts w:eastAsia="仿宋_GB2312"/>
          <w:sz w:val="32"/>
          <w:szCs w:val="32"/>
          <w:highlight w:val="none"/>
        </w:rPr>
      </w:pPr>
      <w:r>
        <w:rPr>
          <w:rFonts w:eastAsia="仿宋_GB2312"/>
          <w:sz w:val="32"/>
          <w:szCs w:val="32"/>
          <w:highlight w:val="none"/>
        </w:rPr>
        <w:t>1．本年收入合计</w:t>
      </w:r>
      <w:r>
        <w:rPr>
          <w:rFonts w:hint="eastAsia" w:eastAsia="仿宋_GB2312"/>
          <w:sz w:val="32"/>
          <w:szCs w:val="32"/>
          <w:highlight w:val="none"/>
          <w:lang w:val="en-US" w:eastAsia="zh-CN"/>
        </w:rPr>
        <w:t>583.96</w:t>
      </w:r>
      <w:r>
        <w:rPr>
          <w:rFonts w:eastAsia="仿宋_GB2312"/>
          <w:sz w:val="32"/>
          <w:szCs w:val="32"/>
          <w:highlight w:val="none"/>
        </w:rPr>
        <w:t>万元。</w:t>
      </w:r>
    </w:p>
    <w:p>
      <w:pPr>
        <w:pStyle w:val="10"/>
        <w:tabs>
          <w:tab w:val="left" w:pos="1389"/>
          <w:tab w:val="left" w:pos="4911"/>
          <w:tab w:val="left" w:pos="5898"/>
        </w:tabs>
        <w:spacing w:after="0" w:line="600" w:lineRule="exact"/>
        <w:ind w:firstLine="640" w:firstLineChars="200"/>
        <w:rPr>
          <w:rFonts w:eastAsia="仿宋_GB2312"/>
          <w:sz w:val="32"/>
          <w:szCs w:val="32"/>
          <w:highlight w:val="none"/>
        </w:rPr>
      </w:pPr>
      <w:r>
        <w:rPr>
          <w:rFonts w:eastAsia="仿宋_GB2312"/>
          <w:sz w:val="32"/>
          <w:szCs w:val="32"/>
          <w:highlight w:val="none"/>
        </w:rPr>
        <w:t>（1）一般公共预算拨款收入</w:t>
      </w:r>
      <w:r>
        <w:rPr>
          <w:rFonts w:hint="eastAsia" w:eastAsia="仿宋_GB2312"/>
          <w:sz w:val="32"/>
          <w:szCs w:val="32"/>
          <w:highlight w:val="none"/>
          <w:lang w:val="en-US" w:eastAsia="zh-CN"/>
        </w:rPr>
        <w:t>583.96</w:t>
      </w:r>
      <w:r>
        <w:rPr>
          <w:rFonts w:eastAsia="仿宋_GB2312"/>
          <w:sz w:val="32"/>
          <w:szCs w:val="32"/>
          <w:highlight w:val="none"/>
        </w:rPr>
        <w:t>万元，与上年相比增加</w:t>
      </w:r>
      <w:r>
        <w:rPr>
          <w:rFonts w:hint="eastAsia" w:eastAsia="仿宋_GB2312"/>
          <w:sz w:val="32"/>
          <w:szCs w:val="32"/>
          <w:highlight w:val="none"/>
          <w:lang w:val="en-US" w:eastAsia="zh-CN"/>
        </w:rPr>
        <w:t>13.01</w:t>
      </w:r>
      <w:r>
        <w:rPr>
          <w:rFonts w:eastAsia="仿宋_GB2312"/>
          <w:sz w:val="32"/>
          <w:szCs w:val="32"/>
          <w:highlight w:val="none"/>
        </w:rPr>
        <w:t>万元，增长</w:t>
      </w:r>
      <w:r>
        <w:rPr>
          <w:rFonts w:hint="eastAsia" w:eastAsia="仿宋_GB2312"/>
          <w:sz w:val="32"/>
          <w:szCs w:val="32"/>
          <w:highlight w:val="none"/>
          <w:lang w:val="en-US" w:eastAsia="zh-CN"/>
        </w:rPr>
        <w:t>2.28</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eastAsia="仿宋_GB2312"/>
          <w:sz w:val="32"/>
          <w:szCs w:val="32"/>
          <w:highlight w:val="none"/>
          <w:lang w:val="en-US" w:eastAsia="zh-CN"/>
        </w:rPr>
        <w:t>本年人员</w:t>
      </w:r>
      <w:r>
        <w:rPr>
          <w:rFonts w:hint="eastAsia" w:ascii="仿宋_GB2312" w:hAnsi="仿宋_GB2312" w:eastAsia="仿宋_GB2312"/>
          <w:sz w:val="32"/>
          <w:szCs w:val="32"/>
          <w:highlight w:val="none"/>
          <w:lang w:val="en-US" w:eastAsia="zh-CN"/>
        </w:rPr>
        <w:t>工资增长，各项社保缴费基数均有所增加，</w:t>
      </w:r>
      <w:r>
        <w:rPr>
          <w:rFonts w:eastAsia="仿宋_GB2312"/>
          <w:sz w:val="32"/>
          <w:szCs w:val="32"/>
          <w:highlight w:val="none"/>
        </w:rPr>
        <w:t>一般公共预算拨款收入</w:t>
      </w:r>
      <w:r>
        <w:rPr>
          <w:rFonts w:hint="eastAsia" w:eastAsia="仿宋_GB2312"/>
          <w:sz w:val="32"/>
          <w:szCs w:val="32"/>
          <w:highlight w:val="none"/>
          <w:lang w:val="en-US" w:eastAsia="zh-CN"/>
        </w:rPr>
        <w:t>相应增加</w:t>
      </w:r>
      <w:r>
        <w:rPr>
          <w:rFonts w:eastAsia="仿宋_GB2312"/>
          <w:sz w:val="32"/>
          <w:szCs w:val="32"/>
          <w:highlight w:val="none"/>
        </w:rPr>
        <w:t>。</w:t>
      </w:r>
    </w:p>
    <w:p>
      <w:pPr>
        <w:pStyle w:val="10"/>
        <w:tabs>
          <w:tab w:val="left" w:pos="1389"/>
          <w:tab w:val="left" w:pos="4911"/>
          <w:tab w:val="left" w:pos="5991"/>
        </w:tabs>
        <w:spacing w:after="0" w:line="600" w:lineRule="exact"/>
        <w:ind w:firstLine="640" w:firstLineChars="200"/>
        <w:rPr>
          <w:rFonts w:eastAsia="仿宋_GB2312"/>
          <w:sz w:val="32"/>
          <w:szCs w:val="32"/>
          <w:highlight w:val="none"/>
        </w:rPr>
      </w:pPr>
      <w:r>
        <w:rPr>
          <w:rFonts w:eastAsia="仿宋_GB2312"/>
          <w:sz w:val="32"/>
          <w:szCs w:val="32"/>
          <w:highlight w:val="none"/>
        </w:rPr>
        <w:t>（2）政府性基金预算拨款收入</w:t>
      </w:r>
      <w:r>
        <w:rPr>
          <w:rFonts w:hint="eastAsia" w:eastAsia="仿宋_GB2312"/>
          <w:sz w:val="32"/>
          <w:szCs w:val="32"/>
          <w:highlight w:val="none"/>
          <w:lang w:val="en-US" w:eastAsia="zh-CN"/>
        </w:rPr>
        <w:t>0.00</w:t>
      </w:r>
      <w:r>
        <w:rPr>
          <w:rFonts w:eastAsia="仿宋_GB2312"/>
          <w:sz w:val="32"/>
          <w:szCs w:val="32"/>
          <w:highlight w:val="none"/>
        </w:rPr>
        <w:t>万元，与上年相比增加</w:t>
      </w:r>
      <w:r>
        <w:rPr>
          <w:rFonts w:hint="eastAsia" w:eastAsia="仿宋_GB2312"/>
          <w:sz w:val="32"/>
          <w:szCs w:val="32"/>
          <w:highlight w:val="none"/>
          <w:lang w:val="en-US" w:eastAsia="zh-CN"/>
        </w:rPr>
        <w:t>0.00</w:t>
      </w:r>
      <w:r>
        <w:rPr>
          <w:rFonts w:eastAsia="仿宋_GB2312"/>
          <w:sz w:val="32"/>
          <w:szCs w:val="32"/>
          <w:highlight w:val="none"/>
        </w:rPr>
        <w:t>万元，增长</w:t>
      </w:r>
      <w:r>
        <w:rPr>
          <w:rFonts w:hint="eastAsia" w:eastAsia="仿宋_GB2312"/>
          <w:sz w:val="32"/>
          <w:szCs w:val="32"/>
          <w:highlight w:val="none"/>
          <w:lang w:val="en-US" w:eastAsia="zh-CN"/>
        </w:rPr>
        <w:t>0.0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10"/>
        <w:tabs>
          <w:tab w:val="left" w:pos="1389"/>
          <w:tab w:val="left" w:pos="4911"/>
          <w:tab w:val="left" w:pos="6205"/>
        </w:tabs>
        <w:spacing w:after="0" w:line="600" w:lineRule="exact"/>
        <w:ind w:firstLine="640" w:firstLineChars="200"/>
        <w:rPr>
          <w:rFonts w:eastAsia="仿宋_GB2312"/>
          <w:sz w:val="32"/>
          <w:szCs w:val="32"/>
          <w:highlight w:val="none"/>
        </w:rPr>
      </w:pPr>
      <w:r>
        <w:rPr>
          <w:rFonts w:eastAsia="仿宋_GB2312"/>
          <w:sz w:val="32"/>
          <w:szCs w:val="32"/>
          <w:highlight w:val="none"/>
        </w:rPr>
        <w:t>（3）国有资本经营预算拨款收入</w:t>
      </w:r>
      <w:r>
        <w:rPr>
          <w:rFonts w:hint="eastAsia" w:eastAsia="仿宋_GB2312"/>
          <w:sz w:val="32"/>
          <w:szCs w:val="32"/>
          <w:highlight w:val="none"/>
          <w:lang w:val="en-US" w:eastAsia="zh-CN"/>
        </w:rPr>
        <w:t>0.00</w:t>
      </w:r>
      <w:r>
        <w:rPr>
          <w:rFonts w:eastAsia="仿宋_GB2312"/>
          <w:sz w:val="32"/>
          <w:szCs w:val="32"/>
          <w:highlight w:val="none"/>
        </w:rPr>
        <w:t>万元，与上年相比增加</w:t>
      </w:r>
      <w:r>
        <w:rPr>
          <w:rFonts w:hint="eastAsia" w:eastAsia="仿宋_GB2312"/>
          <w:sz w:val="32"/>
          <w:szCs w:val="32"/>
          <w:highlight w:val="none"/>
          <w:lang w:val="en-US" w:eastAsia="zh-CN"/>
        </w:rPr>
        <w:t>0.00</w:t>
      </w:r>
      <w:r>
        <w:rPr>
          <w:rFonts w:eastAsia="仿宋_GB2312"/>
          <w:sz w:val="32"/>
          <w:szCs w:val="32"/>
          <w:highlight w:val="none"/>
        </w:rPr>
        <w:t>万元，增长</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10"/>
        <w:tabs>
          <w:tab w:val="left" w:pos="1389"/>
          <w:tab w:val="left" w:pos="4911"/>
          <w:tab w:val="left" w:pos="5898"/>
        </w:tabs>
        <w:spacing w:after="0" w:line="600" w:lineRule="exact"/>
        <w:ind w:firstLine="640" w:firstLineChars="200"/>
        <w:rPr>
          <w:rFonts w:eastAsia="仿宋_GB2312"/>
          <w:sz w:val="32"/>
          <w:szCs w:val="32"/>
          <w:highlight w:val="none"/>
        </w:rPr>
      </w:pPr>
      <w:r>
        <w:rPr>
          <w:rFonts w:eastAsia="仿宋_GB2312"/>
          <w:sz w:val="32"/>
          <w:szCs w:val="32"/>
          <w:highlight w:val="none"/>
        </w:rPr>
        <w:t>（4）财政专户管理资金收入</w:t>
      </w:r>
      <w:r>
        <w:rPr>
          <w:rFonts w:hint="eastAsia" w:eastAsia="仿宋_GB2312"/>
          <w:sz w:val="32"/>
          <w:szCs w:val="32"/>
          <w:highlight w:val="none"/>
          <w:lang w:val="en-US" w:eastAsia="zh-CN"/>
        </w:rPr>
        <w:t>0.00</w:t>
      </w:r>
      <w:r>
        <w:rPr>
          <w:rFonts w:eastAsia="仿宋_GB2312"/>
          <w:sz w:val="32"/>
          <w:szCs w:val="32"/>
          <w:highlight w:val="none"/>
        </w:rPr>
        <w:t>万元，与上年相比增加</w:t>
      </w:r>
      <w:r>
        <w:rPr>
          <w:rFonts w:hint="eastAsia" w:eastAsia="仿宋_GB2312"/>
          <w:sz w:val="32"/>
          <w:szCs w:val="32"/>
          <w:highlight w:val="none"/>
          <w:lang w:val="en-US" w:eastAsia="zh-CN"/>
        </w:rPr>
        <w:t>0.00</w:t>
      </w:r>
      <w:r>
        <w:rPr>
          <w:rFonts w:eastAsia="仿宋_GB2312"/>
          <w:sz w:val="32"/>
          <w:szCs w:val="32"/>
          <w:highlight w:val="none"/>
        </w:rPr>
        <w:t>万元，增长</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10"/>
        <w:tabs>
          <w:tab w:val="left" w:pos="3310"/>
          <w:tab w:val="left" w:pos="3807"/>
          <w:tab w:val="left" w:pos="9433"/>
        </w:tabs>
        <w:spacing w:after="0" w:line="600" w:lineRule="exact"/>
        <w:ind w:firstLine="640" w:firstLineChars="200"/>
        <w:rPr>
          <w:rFonts w:eastAsia="仿宋_GB2312"/>
          <w:sz w:val="32"/>
          <w:szCs w:val="32"/>
          <w:highlight w:val="none"/>
        </w:rPr>
      </w:pPr>
      <w:r>
        <w:rPr>
          <w:rFonts w:eastAsia="仿宋_GB2312"/>
          <w:sz w:val="32"/>
          <w:szCs w:val="32"/>
          <w:highlight w:val="none"/>
        </w:rPr>
        <w:t>（5）事业收入</w:t>
      </w:r>
      <w:r>
        <w:rPr>
          <w:rFonts w:hint="eastAsia" w:eastAsia="仿宋_GB2312"/>
          <w:sz w:val="32"/>
          <w:szCs w:val="32"/>
          <w:highlight w:val="none"/>
          <w:lang w:val="en-US" w:eastAsia="zh-CN"/>
        </w:rPr>
        <w:t>0.00</w:t>
      </w:r>
      <w:r>
        <w:rPr>
          <w:rFonts w:eastAsia="仿宋_GB2312"/>
          <w:sz w:val="32"/>
          <w:szCs w:val="32"/>
          <w:highlight w:val="none"/>
        </w:rPr>
        <w:t>万元，与上年相比增加</w:t>
      </w:r>
      <w:r>
        <w:rPr>
          <w:rFonts w:hint="eastAsia" w:eastAsia="仿宋_GB2312"/>
          <w:sz w:val="32"/>
          <w:szCs w:val="32"/>
          <w:highlight w:val="none"/>
          <w:lang w:val="en-US" w:eastAsia="zh-CN"/>
        </w:rPr>
        <w:t>0.00</w:t>
      </w:r>
      <w:r>
        <w:rPr>
          <w:rFonts w:eastAsia="仿宋_GB2312"/>
          <w:sz w:val="32"/>
          <w:szCs w:val="32"/>
          <w:highlight w:val="none"/>
        </w:rPr>
        <w:t>万元，增长</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10"/>
        <w:tabs>
          <w:tab w:val="left" w:pos="1389"/>
          <w:tab w:val="left" w:pos="4911"/>
          <w:tab w:val="left" w:pos="5900"/>
        </w:tabs>
        <w:spacing w:after="0" w:line="600" w:lineRule="exact"/>
        <w:ind w:firstLine="640" w:firstLineChars="200"/>
        <w:rPr>
          <w:rFonts w:eastAsia="仿宋_GB2312"/>
          <w:sz w:val="32"/>
          <w:szCs w:val="32"/>
          <w:highlight w:val="none"/>
        </w:rPr>
      </w:pPr>
      <w:r>
        <w:rPr>
          <w:rFonts w:eastAsia="仿宋_GB2312"/>
          <w:sz w:val="32"/>
          <w:szCs w:val="32"/>
          <w:highlight w:val="none"/>
        </w:rPr>
        <w:t>（6）事业单位经营收入</w:t>
      </w:r>
      <w:r>
        <w:rPr>
          <w:rFonts w:hint="eastAsia" w:eastAsia="仿宋_GB2312"/>
          <w:sz w:val="32"/>
          <w:szCs w:val="32"/>
          <w:highlight w:val="none"/>
          <w:lang w:val="en-US" w:eastAsia="zh-CN"/>
        </w:rPr>
        <w:t>0.00</w:t>
      </w:r>
      <w:r>
        <w:rPr>
          <w:rFonts w:eastAsia="仿宋_GB2312"/>
          <w:sz w:val="32"/>
          <w:szCs w:val="32"/>
          <w:highlight w:val="none"/>
        </w:rPr>
        <w:t>万元，与上年相比增加</w:t>
      </w:r>
      <w:r>
        <w:rPr>
          <w:rFonts w:hint="eastAsia" w:eastAsia="仿宋_GB2312"/>
          <w:sz w:val="32"/>
          <w:szCs w:val="32"/>
          <w:highlight w:val="none"/>
          <w:lang w:val="en-US" w:eastAsia="zh-CN"/>
        </w:rPr>
        <w:t>0.00</w:t>
      </w:r>
      <w:r>
        <w:rPr>
          <w:rFonts w:eastAsia="仿宋_GB2312"/>
          <w:sz w:val="32"/>
          <w:szCs w:val="32"/>
          <w:highlight w:val="none"/>
        </w:rPr>
        <w:t>万元，增长</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10"/>
        <w:tabs>
          <w:tab w:val="left" w:pos="4320"/>
          <w:tab w:val="left" w:pos="9433"/>
        </w:tabs>
        <w:spacing w:after="0" w:line="600" w:lineRule="exact"/>
        <w:ind w:firstLine="640" w:firstLineChars="200"/>
        <w:rPr>
          <w:rFonts w:eastAsia="仿宋_GB2312"/>
          <w:sz w:val="32"/>
          <w:szCs w:val="32"/>
          <w:highlight w:val="none"/>
        </w:rPr>
      </w:pPr>
      <w:r>
        <w:rPr>
          <w:rFonts w:eastAsia="仿宋_GB2312"/>
          <w:sz w:val="32"/>
          <w:szCs w:val="32"/>
          <w:highlight w:val="none"/>
        </w:rPr>
        <w:t>（7）上级补助收入</w:t>
      </w:r>
      <w:r>
        <w:rPr>
          <w:rFonts w:hint="eastAsia" w:eastAsia="仿宋_GB2312"/>
          <w:sz w:val="32"/>
          <w:szCs w:val="32"/>
          <w:highlight w:val="none"/>
          <w:lang w:val="en-US" w:eastAsia="zh-CN"/>
        </w:rPr>
        <w:t>0.00</w:t>
      </w:r>
      <w:r>
        <w:rPr>
          <w:rFonts w:eastAsia="仿宋_GB2312"/>
          <w:sz w:val="32"/>
          <w:szCs w:val="32"/>
          <w:highlight w:val="none"/>
        </w:rPr>
        <w:t>万元，与上年相比增加</w:t>
      </w:r>
      <w:r>
        <w:rPr>
          <w:rFonts w:hint="eastAsia" w:eastAsia="仿宋_GB2312"/>
          <w:sz w:val="32"/>
          <w:szCs w:val="32"/>
          <w:highlight w:val="none"/>
          <w:lang w:val="en-US" w:eastAsia="zh-CN"/>
        </w:rPr>
        <w:t>0.00</w:t>
      </w:r>
      <w:r>
        <w:rPr>
          <w:rFonts w:eastAsia="仿宋_GB2312"/>
          <w:sz w:val="32"/>
          <w:szCs w:val="32"/>
          <w:highlight w:val="none"/>
        </w:rPr>
        <w:t>万元，增长</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10"/>
        <w:tabs>
          <w:tab w:val="left" w:pos="1389"/>
          <w:tab w:val="left" w:pos="4911"/>
          <w:tab w:val="left" w:pos="5900"/>
        </w:tabs>
        <w:spacing w:after="0" w:line="600" w:lineRule="exact"/>
        <w:ind w:firstLine="640" w:firstLineChars="200"/>
        <w:rPr>
          <w:rFonts w:eastAsia="仿宋_GB2312"/>
          <w:sz w:val="32"/>
          <w:szCs w:val="32"/>
          <w:highlight w:val="none"/>
        </w:rPr>
      </w:pPr>
      <w:r>
        <w:rPr>
          <w:rFonts w:eastAsia="仿宋_GB2312"/>
          <w:sz w:val="32"/>
          <w:szCs w:val="32"/>
          <w:highlight w:val="none"/>
        </w:rPr>
        <w:t>（8）附属单位上缴收入</w:t>
      </w:r>
      <w:r>
        <w:rPr>
          <w:rFonts w:hint="eastAsia" w:eastAsia="仿宋_GB2312"/>
          <w:sz w:val="32"/>
          <w:szCs w:val="32"/>
          <w:highlight w:val="none"/>
          <w:lang w:val="en-US" w:eastAsia="zh-CN"/>
        </w:rPr>
        <w:t>0.00</w:t>
      </w:r>
      <w:r>
        <w:rPr>
          <w:rFonts w:eastAsia="仿宋_GB2312"/>
          <w:sz w:val="32"/>
          <w:szCs w:val="32"/>
          <w:highlight w:val="none"/>
        </w:rPr>
        <w:t>万元，与上年相比增加</w:t>
      </w:r>
      <w:r>
        <w:rPr>
          <w:rFonts w:hint="eastAsia" w:eastAsia="仿宋_GB2312"/>
          <w:sz w:val="32"/>
          <w:szCs w:val="32"/>
          <w:highlight w:val="none"/>
          <w:lang w:val="en-US" w:eastAsia="zh-CN"/>
        </w:rPr>
        <w:t>0.00</w:t>
      </w:r>
      <w:r>
        <w:rPr>
          <w:rFonts w:eastAsia="仿宋_GB2312"/>
          <w:sz w:val="32"/>
          <w:szCs w:val="32"/>
          <w:highlight w:val="none"/>
        </w:rPr>
        <w:t>万元，增长</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10"/>
        <w:tabs>
          <w:tab w:val="left" w:pos="3310"/>
          <w:tab w:val="left" w:pos="4121"/>
          <w:tab w:val="left" w:pos="9431"/>
        </w:tabs>
        <w:spacing w:after="0" w:line="600" w:lineRule="exact"/>
        <w:ind w:firstLine="640" w:firstLineChars="200"/>
        <w:rPr>
          <w:rFonts w:eastAsia="仿宋_GB2312"/>
          <w:sz w:val="32"/>
          <w:szCs w:val="32"/>
          <w:highlight w:val="none"/>
        </w:rPr>
      </w:pPr>
      <w:r>
        <w:rPr>
          <w:rFonts w:eastAsia="仿宋_GB2312"/>
          <w:sz w:val="32"/>
          <w:szCs w:val="32"/>
          <w:highlight w:val="none"/>
        </w:rPr>
        <w:t>（9）其他收入</w:t>
      </w:r>
      <w:r>
        <w:rPr>
          <w:rFonts w:hint="eastAsia" w:eastAsia="仿宋_GB2312"/>
          <w:sz w:val="32"/>
          <w:szCs w:val="32"/>
          <w:highlight w:val="none"/>
          <w:lang w:val="en-US" w:eastAsia="zh-CN"/>
        </w:rPr>
        <w:t>0.00</w:t>
      </w:r>
      <w:r>
        <w:rPr>
          <w:rFonts w:eastAsia="仿宋_GB2312"/>
          <w:sz w:val="32"/>
          <w:szCs w:val="32"/>
          <w:highlight w:val="none"/>
        </w:rPr>
        <w:t>万元，与上年相比增加</w:t>
      </w:r>
      <w:r>
        <w:rPr>
          <w:rFonts w:hint="eastAsia" w:eastAsia="仿宋_GB2312"/>
          <w:sz w:val="32"/>
          <w:szCs w:val="32"/>
          <w:highlight w:val="none"/>
          <w:lang w:val="en-US" w:eastAsia="zh-CN"/>
        </w:rPr>
        <w:t>0.00</w:t>
      </w:r>
      <w:r>
        <w:rPr>
          <w:rFonts w:eastAsia="仿宋_GB2312"/>
          <w:sz w:val="32"/>
          <w:szCs w:val="32"/>
          <w:highlight w:val="none"/>
        </w:rPr>
        <w:t>万元，增长</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10"/>
        <w:tabs>
          <w:tab w:val="left" w:pos="3310"/>
          <w:tab w:val="left" w:pos="4280"/>
          <w:tab w:val="left" w:pos="9431"/>
        </w:tabs>
        <w:spacing w:after="0" w:line="600" w:lineRule="exact"/>
        <w:ind w:firstLine="640" w:firstLineChars="200"/>
        <w:rPr>
          <w:rFonts w:ascii="仿宋_GB2312" w:hAnsi="仿宋_GB2312" w:eastAsia="仿宋_GB2312"/>
          <w:color w:val="FF0000"/>
          <w:sz w:val="32"/>
          <w:szCs w:val="24"/>
          <w:highlight w:val="none"/>
        </w:rPr>
      </w:pPr>
      <w:r>
        <w:rPr>
          <w:rFonts w:eastAsia="仿宋_GB2312"/>
          <w:sz w:val="32"/>
          <w:szCs w:val="32"/>
          <w:highlight w:val="none"/>
        </w:rPr>
        <w:t>2．上年结转结余</w:t>
      </w:r>
      <w:r>
        <w:rPr>
          <w:rFonts w:hint="eastAsia" w:eastAsia="仿宋_GB2312"/>
          <w:sz w:val="32"/>
          <w:szCs w:val="32"/>
          <w:highlight w:val="none"/>
          <w:lang w:val="en-US" w:eastAsia="zh-CN"/>
        </w:rPr>
        <w:t>0.00</w:t>
      </w:r>
      <w:r>
        <w:rPr>
          <w:rFonts w:eastAsia="仿宋_GB2312"/>
          <w:sz w:val="32"/>
          <w:szCs w:val="32"/>
          <w:highlight w:val="none"/>
        </w:rPr>
        <w:t>万元。与上年相比增加</w:t>
      </w:r>
      <w:r>
        <w:rPr>
          <w:rFonts w:hint="eastAsia" w:eastAsia="仿宋_GB2312"/>
          <w:sz w:val="32"/>
          <w:szCs w:val="32"/>
          <w:highlight w:val="none"/>
          <w:lang w:val="en-US" w:eastAsia="zh-CN"/>
        </w:rPr>
        <w:t>0.00</w:t>
      </w:r>
      <w:r>
        <w:rPr>
          <w:rFonts w:eastAsia="仿宋_GB2312"/>
          <w:sz w:val="32"/>
          <w:szCs w:val="32"/>
          <w:highlight w:val="none"/>
        </w:rPr>
        <w:t>万元，增长</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pStyle w:val="10"/>
        <w:tabs>
          <w:tab w:val="left" w:pos="4275"/>
        </w:tabs>
        <w:spacing w:after="0" w:line="600" w:lineRule="exact"/>
        <w:ind w:firstLine="643" w:firstLineChars="200"/>
        <w:rPr>
          <w:rFonts w:ascii="楷体" w:hAnsi="楷体" w:eastAsia="楷体" w:cs="楷体"/>
          <w:b/>
          <w:bCs/>
          <w:sz w:val="32"/>
          <w:szCs w:val="32"/>
          <w:highlight w:val="none"/>
        </w:rPr>
      </w:pPr>
      <w:r>
        <w:rPr>
          <w:rFonts w:hint="eastAsia" w:ascii="楷体" w:hAnsi="楷体" w:eastAsia="楷体" w:cs="楷体"/>
          <w:b/>
          <w:bCs/>
          <w:sz w:val="32"/>
          <w:szCs w:val="32"/>
          <w:highlight w:val="none"/>
        </w:rPr>
        <w:t>（二）支出预算总计</w:t>
      </w:r>
      <w:r>
        <w:rPr>
          <w:rFonts w:hint="eastAsia" w:ascii="楷体" w:hAnsi="楷体" w:eastAsia="楷体" w:cs="楷体"/>
          <w:b/>
          <w:bCs/>
          <w:sz w:val="32"/>
          <w:szCs w:val="32"/>
          <w:highlight w:val="none"/>
          <w:lang w:val="en-US" w:eastAsia="zh-CN"/>
        </w:rPr>
        <w:t>583.96</w:t>
      </w:r>
      <w:r>
        <w:rPr>
          <w:rFonts w:hint="eastAsia" w:ascii="楷体" w:hAnsi="楷体" w:eastAsia="楷体" w:cs="楷体"/>
          <w:b/>
          <w:bCs/>
          <w:sz w:val="32"/>
          <w:szCs w:val="32"/>
          <w:highlight w:val="none"/>
        </w:rPr>
        <w:t>万元。包括：</w:t>
      </w:r>
    </w:p>
    <w:p>
      <w:pPr>
        <w:pStyle w:val="10"/>
        <w:tabs>
          <w:tab w:val="left" w:pos="3792"/>
        </w:tabs>
        <w:spacing w:after="0" w:line="600" w:lineRule="exact"/>
        <w:ind w:firstLine="640" w:firstLineChars="200"/>
        <w:rPr>
          <w:rFonts w:eastAsia="仿宋_GB2312"/>
          <w:sz w:val="32"/>
          <w:szCs w:val="32"/>
          <w:highlight w:val="none"/>
        </w:rPr>
      </w:pPr>
      <w:r>
        <w:rPr>
          <w:rFonts w:eastAsia="仿宋_GB2312"/>
          <w:sz w:val="32"/>
          <w:szCs w:val="32"/>
          <w:highlight w:val="none"/>
        </w:rPr>
        <w:t>1．本年支出合计</w:t>
      </w:r>
      <w:r>
        <w:rPr>
          <w:rFonts w:hint="eastAsia" w:eastAsia="仿宋_GB2312"/>
          <w:sz w:val="32"/>
          <w:szCs w:val="32"/>
          <w:highlight w:val="none"/>
          <w:lang w:val="en-US" w:eastAsia="zh-CN"/>
        </w:rPr>
        <w:t>583.96</w:t>
      </w:r>
      <w:r>
        <w:rPr>
          <w:rFonts w:eastAsia="仿宋_GB2312"/>
          <w:sz w:val="32"/>
          <w:szCs w:val="32"/>
          <w:highlight w:val="none"/>
        </w:rPr>
        <w:t>万元。</w:t>
      </w:r>
    </w:p>
    <w:p>
      <w:pPr>
        <w:pStyle w:val="10"/>
        <w:tabs>
          <w:tab w:val="left" w:pos="3288"/>
          <w:tab w:val="left" w:pos="5641"/>
          <w:tab w:val="left" w:pos="6778"/>
        </w:tabs>
        <w:spacing w:after="0" w:line="600" w:lineRule="exact"/>
        <w:ind w:firstLine="640" w:firstLineChars="200"/>
        <w:rPr>
          <w:rFonts w:eastAsia="仿宋_GB2312"/>
          <w:sz w:val="32"/>
          <w:szCs w:val="32"/>
          <w:highlight w:val="none"/>
        </w:rPr>
      </w:pPr>
      <w:r>
        <w:rPr>
          <w:rFonts w:eastAsia="仿宋_GB2312"/>
          <w:sz w:val="32"/>
          <w:szCs w:val="32"/>
          <w:highlight w:val="none"/>
        </w:rPr>
        <w:t>（1）</w:t>
      </w:r>
      <w:r>
        <w:rPr>
          <w:rFonts w:hint="eastAsia" w:eastAsia="仿宋_GB2312"/>
          <w:sz w:val="32"/>
          <w:szCs w:val="32"/>
          <w:highlight w:val="none"/>
        </w:rPr>
        <w:t>社会保障和就业</w:t>
      </w:r>
      <w:r>
        <w:rPr>
          <w:rFonts w:eastAsia="仿宋_GB2312"/>
          <w:sz w:val="32"/>
          <w:szCs w:val="32"/>
          <w:highlight w:val="none"/>
        </w:rPr>
        <w:t>（类）支出</w:t>
      </w:r>
      <w:r>
        <w:rPr>
          <w:rFonts w:hint="eastAsia" w:eastAsia="仿宋_GB2312"/>
          <w:sz w:val="32"/>
          <w:szCs w:val="32"/>
          <w:highlight w:val="none"/>
          <w:lang w:val="en-US" w:eastAsia="zh-CN"/>
        </w:rPr>
        <w:t>105.96</w:t>
      </w:r>
      <w:r>
        <w:rPr>
          <w:rFonts w:eastAsia="仿宋_GB2312"/>
          <w:sz w:val="32"/>
          <w:szCs w:val="32"/>
          <w:highlight w:val="none"/>
        </w:rPr>
        <w:t>万元，主要用于</w:t>
      </w:r>
      <w:r>
        <w:rPr>
          <w:rFonts w:hint="eastAsia" w:ascii="仿宋_GB2312" w:eastAsia="仿宋_GB2312"/>
          <w:sz w:val="32"/>
          <w:szCs w:val="32"/>
        </w:rPr>
        <w:t>事业单位退休</w:t>
      </w:r>
      <w:r>
        <w:rPr>
          <w:rFonts w:hint="eastAsia" w:ascii="仿宋_GB2312" w:eastAsia="仿宋_GB2312"/>
          <w:sz w:val="32"/>
          <w:szCs w:val="32"/>
          <w:lang w:val="en-US" w:eastAsia="zh-CN"/>
        </w:rPr>
        <w:t>人员</w:t>
      </w:r>
      <w:r>
        <w:rPr>
          <w:rFonts w:hint="eastAsia" w:ascii="仿宋_GB2312" w:eastAsia="仿宋_GB2312"/>
          <w:sz w:val="32"/>
          <w:szCs w:val="32"/>
          <w:lang w:eastAsia="zh-CN"/>
        </w:rPr>
        <w:t>物业补贴及取暖补贴</w:t>
      </w:r>
      <w:r>
        <w:rPr>
          <w:rFonts w:hint="eastAsia" w:ascii="仿宋_GB2312" w:eastAsia="仿宋_GB2312"/>
          <w:sz w:val="32"/>
          <w:szCs w:val="32"/>
        </w:rPr>
        <w:t>支出</w:t>
      </w:r>
      <w:r>
        <w:rPr>
          <w:rFonts w:hint="eastAsia" w:ascii="仿宋_GB2312" w:eastAsia="仿宋_GB2312"/>
          <w:sz w:val="32"/>
          <w:szCs w:val="32"/>
          <w:lang w:eastAsia="zh-CN"/>
        </w:rPr>
        <w:t>、基本养老及职业年金缴费支出</w:t>
      </w:r>
      <w:r>
        <w:rPr>
          <w:rFonts w:eastAsia="仿宋_GB2312"/>
          <w:sz w:val="32"/>
          <w:szCs w:val="32"/>
          <w:highlight w:val="none"/>
        </w:rPr>
        <w:t>。与上年相比增加</w:t>
      </w:r>
      <w:r>
        <w:rPr>
          <w:rFonts w:hint="eastAsia" w:eastAsia="仿宋_GB2312"/>
          <w:sz w:val="32"/>
          <w:szCs w:val="32"/>
          <w:highlight w:val="none"/>
          <w:lang w:val="en-US" w:eastAsia="zh-CN"/>
        </w:rPr>
        <w:t>8.42</w:t>
      </w:r>
      <w:r>
        <w:rPr>
          <w:rFonts w:eastAsia="仿宋_GB2312"/>
          <w:sz w:val="32"/>
          <w:szCs w:val="32"/>
          <w:highlight w:val="none"/>
        </w:rPr>
        <w:t>万元，增长</w:t>
      </w:r>
      <w:r>
        <w:rPr>
          <w:rFonts w:hint="eastAsia" w:eastAsia="仿宋_GB2312"/>
          <w:sz w:val="32"/>
          <w:szCs w:val="32"/>
          <w:highlight w:val="none"/>
          <w:lang w:val="en-US" w:eastAsia="zh-CN"/>
        </w:rPr>
        <w:t>8.63</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eastAsia="仿宋_GB2312"/>
          <w:sz w:val="32"/>
          <w:szCs w:val="32"/>
          <w:highlight w:val="none"/>
          <w:lang w:val="en-US" w:eastAsia="zh-CN"/>
        </w:rPr>
        <w:t>本年人员</w:t>
      </w:r>
      <w:r>
        <w:rPr>
          <w:rFonts w:hint="eastAsia" w:ascii="仿宋_GB2312" w:hAnsi="仿宋_GB2312" w:eastAsia="仿宋_GB2312"/>
          <w:sz w:val="32"/>
          <w:szCs w:val="32"/>
          <w:highlight w:val="none"/>
          <w:lang w:val="en-US" w:eastAsia="zh-CN"/>
        </w:rPr>
        <w:t>工资增长，各项社保缴费基数均有所增加，</w:t>
      </w:r>
      <w:r>
        <w:rPr>
          <w:rFonts w:hint="eastAsia" w:eastAsia="仿宋_GB2312"/>
          <w:sz w:val="32"/>
          <w:szCs w:val="32"/>
          <w:highlight w:val="none"/>
        </w:rPr>
        <w:t>社会保障和就业</w:t>
      </w:r>
      <w:r>
        <w:rPr>
          <w:rFonts w:hint="eastAsia" w:eastAsia="仿宋_GB2312"/>
          <w:sz w:val="32"/>
          <w:szCs w:val="32"/>
          <w:highlight w:val="none"/>
          <w:lang w:val="en-US" w:eastAsia="zh-CN"/>
        </w:rPr>
        <w:t>支出相应增加。</w:t>
      </w:r>
    </w:p>
    <w:p>
      <w:pPr>
        <w:pStyle w:val="10"/>
        <w:tabs>
          <w:tab w:val="left" w:pos="3288"/>
          <w:tab w:val="left" w:pos="5641"/>
          <w:tab w:val="left" w:pos="6778"/>
        </w:tabs>
        <w:spacing w:after="0" w:line="600" w:lineRule="exact"/>
        <w:ind w:firstLine="640" w:firstLineChars="200"/>
        <w:rPr>
          <w:rFonts w:ascii="Times New Roman" w:hAnsi="Times New Roman" w:eastAsia="仿宋_GB2312" w:cs="仿宋"/>
          <w:sz w:val="32"/>
          <w:szCs w:val="32"/>
          <w:highlight w:val="none"/>
        </w:rPr>
      </w:pPr>
      <w:r>
        <w:rPr>
          <w:rFonts w:eastAsia="仿宋_GB2312"/>
          <w:sz w:val="32"/>
          <w:szCs w:val="32"/>
          <w:highlight w:val="none"/>
        </w:rPr>
        <w:t>（2）</w:t>
      </w:r>
      <w:r>
        <w:rPr>
          <w:rFonts w:hint="eastAsia" w:eastAsia="仿宋_GB2312"/>
          <w:sz w:val="32"/>
          <w:szCs w:val="32"/>
          <w:highlight w:val="none"/>
          <w:lang w:val="en-US" w:eastAsia="zh-CN"/>
        </w:rPr>
        <w:t>卫生健康</w:t>
      </w:r>
      <w:r>
        <w:rPr>
          <w:rFonts w:eastAsia="仿宋_GB2312"/>
          <w:sz w:val="32"/>
          <w:szCs w:val="32"/>
          <w:highlight w:val="none"/>
        </w:rPr>
        <w:t>（类）支出</w:t>
      </w:r>
      <w:r>
        <w:rPr>
          <w:rFonts w:hint="eastAsia" w:eastAsia="仿宋_GB2312"/>
          <w:sz w:val="32"/>
          <w:szCs w:val="32"/>
          <w:highlight w:val="none"/>
          <w:lang w:val="en-US" w:eastAsia="zh-CN"/>
        </w:rPr>
        <w:t>443.82</w:t>
      </w:r>
      <w:r>
        <w:rPr>
          <w:rFonts w:eastAsia="仿宋_GB2312"/>
          <w:sz w:val="32"/>
          <w:szCs w:val="32"/>
          <w:highlight w:val="none"/>
        </w:rPr>
        <w:t>万元，主要用于</w:t>
      </w:r>
      <w:r>
        <w:rPr>
          <w:rFonts w:hint="eastAsia" w:ascii="仿宋_GB2312" w:hAnsi="仿宋_GB2312" w:eastAsia="仿宋_GB2312"/>
          <w:sz w:val="32"/>
          <w:szCs w:val="32"/>
          <w:highlight w:val="none"/>
          <w:lang w:val="en-US" w:eastAsia="zh-CN"/>
        </w:rPr>
        <w:t>卫生健康管理事务、行政事业单位医疗、中医药事务</w:t>
      </w:r>
      <w:r>
        <w:rPr>
          <w:rFonts w:eastAsia="仿宋_GB2312"/>
          <w:sz w:val="32"/>
          <w:szCs w:val="32"/>
          <w:highlight w:val="none"/>
        </w:rPr>
        <w:t>。与上年相比增加</w:t>
      </w:r>
      <w:r>
        <w:rPr>
          <w:rFonts w:hint="eastAsia" w:eastAsia="仿宋_GB2312"/>
          <w:sz w:val="32"/>
          <w:szCs w:val="32"/>
          <w:highlight w:val="none"/>
          <w:lang w:val="en-US" w:eastAsia="zh-CN"/>
        </w:rPr>
        <w:t>1.10</w:t>
      </w:r>
      <w:r>
        <w:rPr>
          <w:rFonts w:eastAsia="仿宋_GB2312"/>
          <w:sz w:val="32"/>
          <w:szCs w:val="32"/>
          <w:highlight w:val="none"/>
        </w:rPr>
        <w:t>万元，增长</w:t>
      </w:r>
      <w:r>
        <w:rPr>
          <w:rFonts w:hint="eastAsia" w:eastAsia="仿宋_GB2312"/>
          <w:sz w:val="32"/>
          <w:szCs w:val="32"/>
          <w:highlight w:val="none"/>
          <w:lang w:val="en-US" w:eastAsia="zh-CN"/>
        </w:rPr>
        <w:t>0.25</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eastAsia="仿宋_GB2312"/>
          <w:sz w:val="32"/>
          <w:szCs w:val="32"/>
          <w:highlight w:val="none"/>
          <w:lang w:val="en-US" w:eastAsia="zh-CN"/>
        </w:rPr>
        <w:t>本年人员</w:t>
      </w:r>
      <w:r>
        <w:rPr>
          <w:rFonts w:hint="eastAsia" w:ascii="仿宋_GB2312" w:hAnsi="仿宋_GB2312" w:eastAsia="仿宋_GB2312"/>
          <w:sz w:val="32"/>
          <w:szCs w:val="32"/>
          <w:highlight w:val="none"/>
          <w:lang w:val="en-US" w:eastAsia="zh-CN"/>
        </w:rPr>
        <w:t>工资增长，各项社保缴费基数均有所增加，</w:t>
      </w:r>
      <w:r>
        <w:rPr>
          <w:rFonts w:hint="eastAsia" w:eastAsia="仿宋_GB2312"/>
          <w:sz w:val="32"/>
          <w:szCs w:val="32"/>
          <w:highlight w:val="none"/>
          <w:lang w:val="en-US" w:eastAsia="zh-CN"/>
        </w:rPr>
        <w:t>卫生健康支出相应增加</w:t>
      </w:r>
      <w:r>
        <w:rPr>
          <w:rFonts w:eastAsia="仿宋_GB2312"/>
          <w:sz w:val="32"/>
          <w:szCs w:val="32"/>
          <w:highlight w:val="none"/>
        </w:rPr>
        <w:t>。</w:t>
      </w:r>
    </w:p>
    <w:p>
      <w:pPr>
        <w:pStyle w:val="10"/>
        <w:tabs>
          <w:tab w:val="left" w:pos="4112"/>
        </w:tabs>
        <w:spacing w:after="0" w:line="600" w:lineRule="exact"/>
        <w:ind w:firstLine="640" w:firstLineChars="200"/>
        <w:rPr>
          <w:rFonts w:eastAsia="仿宋_GB2312"/>
          <w:sz w:val="32"/>
          <w:szCs w:val="32"/>
          <w:highlight w:val="none"/>
        </w:rPr>
      </w:pPr>
      <w:r>
        <w:rPr>
          <w:rFonts w:eastAsia="仿宋_GB2312"/>
          <w:sz w:val="32"/>
          <w:szCs w:val="32"/>
          <w:highlight w:val="none"/>
        </w:rPr>
        <w:t>2．年终结转结余</w:t>
      </w:r>
      <w:r>
        <w:rPr>
          <w:rFonts w:hint="eastAsia" w:eastAsia="仿宋_GB2312"/>
          <w:sz w:val="32"/>
          <w:szCs w:val="32"/>
          <w:highlight w:val="none"/>
          <w:lang w:val="en-US" w:eastAsia="zh-CN"/>
        </w:rPr>
        <w:t>0.00</w:t>
      </w:r>
      <w:r>
        <w:rPr>
          <w:rFonts w:eastAsia="仿宋_GB2312"/>
          <w:sz w:val="32"/>
          <w:szCs w:val="32"/>
          <w:highlight w:val="none"/>
        </w:rPr>
        <w:t>万元，主要原因是</w:t>
      </w:r>
      <w:r>
        <w:rPr>
          <w:rFonts w:hint="eastAsia" w:ascii="仿宋_GB2312" w:hAnsi="仿宋_GB2312" w:eastAsia="仿宋_GB2312"/>
          <w:sz w:val="32"/>
          <w:szCs w:val="24"/>
          <w:highlight w:val="none"/>
        </w:rPr>
        <w:t>不存在此项内容</w:t>
      </w:r>
      <w:r>
        <w:rPr>
          <w:rFonts w:eastAsia="仿宋_GB2312"/>
          <w:sz w:val="32"/>
          <w:szCs w:val="32"/>
          <w:highlight w:val="none"/>
        </w:rPr>
        <w:t>。</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二、收入预算情况说明</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hint="eastAsia" w:ascii="仿宋_GB2312" w:hAnsi="仿宋_GB2312" w:eastAsia="仿宋_GB2312" w:cs="仿宋_GB2312"/>
          <w:sz w:val="32"/>
          <w:szCs w:val="32"/>
          <w:highlight w:val="none"/>
          <w:lang w:val="en-US" w:eastAsia="zh-CN"/>
        </w:rPr>
        <w:t>内蒙古自治区医疗管理事务服务中心2025</w:t>
      </w:r>
      <w:r>
        <w:rPr>
          <w:rFonts w:hint="eastAsia" w:ascii="仿宋_GB2312" w:hAnsi="仿宋_GB2312" w:eastAsia="仿宋_GB2312" w:cs="仿宋_GB2312"/>
          <w:sz w:val="32"/>
          <w:szCs w:val="32"/>
          <w:highlight w:val="none"/>
        </w:rPr>
        <w:t>年度</w:t>
      </w:r>
      <w:r>
        <w:rPr>
          <w:rFonts w:eastAsia="仿宋_GB2312"/>
          <w:sz w:val="32"/>
          <w:szCs w:val="32"/>
          <w:highlight w:val="none"/>
        </w:rPr>
        <w:t>收入预算</w:t>
      </w:r>
      <w:r>
        <w:rPr>
          <w:rFonts w:hint="eastAsia" w:eastAsia="仿宋_GB2312"/>
          <w:sz w:val="32"/>
          <w:szCs w:val="32"/>
          <w:highlight w:val="none"/>
          <w:lang w:val="en-US" w:eastAsia="zh-CN"/>
        </w:rPr>
        <w:t>总</w:t>
      </w:r>
      <w:r>
        <w:rPr>
          <w:rFonts w:eastAsia="仿宋_GB2312"/>
          <w:sz w:val="32"/>
          <w:szCs w:val="32"/>
          <w:highlight w:val="none"/>
        </w:rPr>
        <w:t>计</w:t>
      </w:r>
      <w:r>
        <w:rPr>
          <w:rFonts w:hint="eastAsia" w:eastAsia="仿宋_GB2312"/>
          <w:sz w:val="32"/>
          <w:szCs w:val="32"/>
          <w:highlight w:val="none"/>
          <w:lang w:val="en-US" w:eastAsia="zh-CN"/>
        </w:rPr>
        <w:t>583.96</w:t>
      </w:r>
      <w:r>
        <w:rPr>
          <w:rFonts w:eastAsia="仿宋_GB2312"/>
          <w:sz w:val="32"/>
          <w:szCs w:val="32"/>
          <w:highlight w:val="none"/>
        </w:rPr>
        <w:t>万元，包括本年收入</w:t>
      </w:r>
      <w:r>
        <w:rPr>
          <w:rFonts w:hint="eastAsia" w:eastAsia="仿宋_GB2312"/>
          <w:sz w:val="32"/>
          <w:szCs w:val="32"/>
          <w:highlight w:val="none"/>
          <w:lang w:val="en-US" w:eastAsia="zh-CN"/>
        </w:rPr>
        <w:t>583.96</w:t>
      </w:r>
      <w:r>
        <w:rPr>
          <w:rFonts w:eastAsia="仿宋_GB2312"/>
          <w:sz w:val="32"/>
          <w:szCs w:val="32"/>
          <w:highlight w:val="none"/>
        </w:rPr>
        <w:t>万元，上年结转结余</w:t>
      </w:r>
      <w:r>
        <w:rPr>
          <w:rFonts w:hint="eastAsia" w:eastAsia="仿宋_GB2312"/>
          <w:sz w:val="32"/>
          <w:szCs w:val="32"/>
          <w:highlight w:val="none"/>
          <w:lang w:val="en-US" w:eastAsia="zh-CN"/>
        </w:rPr>
        <w:t>0.00</w:t>
      </w:r>
      <w:r>
        <w:rPr>
          <w:rFonts w:eastAsia="仿宋_GB2312"/>
          <w:sz w:val="32"/>
          <w:szCs w:val="32"/>
          <w:highlight w:val="none"/>
        </w:rPr>
        <w:t>万元。其中：</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本年一般公共预算收入</w:t>
      </w:r>
      <w:r>
        <w:rPr>
          <w:rFonts w:hint="eastAsia" w:eastAsia="仿宋_GB2312"/>
          <w:sz w:val="32"/>
          <w:szCs w:val="32"/>
          <w:highlight w:val="none"/>
          <w:lang w:val="en-US" w:eastAsia="zh-CN"/>
        </w:rPr>
        <w:t>583.96</w:t>
      </w:r>
      <w:r>
        <w:rPr>
          <w:rFonts w:eastAsia="仿宋_GB2312"/>
          <w:sz w:val="32"/>
          <w:szCs w:val="32"/>
          <w:highlight w:val="none"/>
        </w:rPr>
        <w:t>万元，占</w:t>
      </w:r>
      <w:r>
        <w:rPr>
          <w:rFonts w:hint="eastAsia" w:eastAsia="仿宋_GB2312"/>
          <w:sz w:val="32"/>
          <w:szCs w:val="32"/>
          <w:highlight w:val="none"/>
          <w:lang w:val="en-US" w:eastAsia="zh-CN"/>
        </w:rPr>
        <w:t>100.00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本年政府性基金预算收入</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本年国有资本经营预算收入</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本年财政专户管理资金</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本年事业收入</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本年事业单位经营收入</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本年上级补助收入</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本年附属单位上缴收入</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本年其他收入</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上年结转结余的一般公共预算收入</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上年结转结余的政府性基金预算收入</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上年结转结余的国有资本经营预算收入</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上年结转结余的财政专户管理资金</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ascii="Times New Roman" w:hAnsi="Times New Roman" w:eastAsia="仿宋_GB2312" w:cs="仿宋"/>
          <w:sz w:val="32"/>
          <w:szCs w:val="32"/>
          <w:highlight w:val="none"/>
        </w:rPr>
      </w:pPr>
      <w:r>
        <w:rPr>
          <w:rFonts w:eastAsia="仿宋_GB2312"/>
          <w:sz w:val="32"/>
          <w:szCs w:val="32"/>
          <w:highlight w:val="none"/>
        </w:rPr>
        <w:t>上年结转结余的单位资金</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hint="eastAsia" w:eastAsia="仿宋_GB2312"/>
          <w:sz w:val="32"/>
          <w:szCs w:val="32"/>
          <w:highlight w:val="none"/>
          <w:lang w:eastAsia="zh-CN"/>
        </w:rPr>
        <w:t>。</w:t>
      </w:r>
    </w:p>
    <w:p>
      <w:pPr>
        <w:pStyle w:val="14"/>
        <w:tabs>
          <w:tab w:val="left" w:pos="0"/>
        </w:tabs>
        <w:ind w:left="0" w:leftChars="0" w:firstLine="0"/>
        <w:jc w:val="center"/>
        <w:rPr>
          <w:rFonts w:eastAsia="仿宋_GB2312"/>
          <w:sz w:val="32"/>
          <w:szCs w:val="32"/>
          <w:highlight w:val="none"/>
        </w:rPr>
      </w:pPr>
      <w:bookmarkStart w:id="5" w:name="_GoBack"/>
      <w:r>
        <w:drawing>
          <wp:anchor distT="0" distB="0" distL="114300" distR="114300" simplePos="0" relativeHeight="251658240" behindDoc="0" locked="0" layoutInCell="1" allowOverlap="1">
            <wp:simplePos x="0" y="0"/>
            <wp:positionH relativeFrom="column">
              <wp:posOffset>516890</wp:posOffset>
            </wp:positionH>
            <wp:positionV relativeFrom="paragraph">
              <wp:posOffset>200025</wp:posOffset>
            </wp:positionV>
            <wp:extent cx="5218430" cy="1425575"/>
            <wp:effectExtent l="4445" t="4445" r="15875" b="17780"/>
            <wp:wrapSquare wrapText="bothSides"/>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bookmarkEnd w:id="5"/>
    </w:p>
    <w:p>
      <w:pPr>
        <w:pStyle w:val="14"/>
        <w:tabs>
          <w:tab w:val="left" w:pos="0"/>
        </w:tabs>
        <w:ind w:left="0" w:leftChars="0" w:firstLine="0"/>
        <w:jc w:val="center"/>
        <w:rPr>
          <w:rFonts w:eastAsia="仿宋_GB2312"/>
          <w:sz w:val="32"/>
          <w:szCs w:val="32"/>
          <w:highlight w:val="none"/>
        </w:rPr>
      </w:pPr>
    </w:p>
    <w:p>
      <w:pPr>
        <w:pStyle w:val="14"/>
        <w:tabs>
          <w:tab w:val="left" w:pos="0"/>
        </w:tabs>
        <w:ind w:left="0" w:leftChars="0" w:firstLine="0"/>
        <w:jc w:val="both"/>
        <w:rPr>
          <w:rFonts w:eastAsia="仿宋_GB2312"/>
          <w:sz w:val="32"/>
          <w:szCs w:val="32"/>
          <w:highlight w:val="none"/>
        </w:rPr>
      </w:pPr>
    </w:p>
    <w:p>
      <w:pPr>
        <w:pStyle w:val="14"/>
        <w:tabs>
          <w:tab w:val="left" w:pos="0"/>
        </w:tabs>
        <w:ind w:left="0" w:leftChars="0" w:firstLine="0"/>
        <w:jc w:val="center"/>
        <w:rPr>
          <w:rFonts w:eastAsia="仿宋_GB2312"/>
          <w:sz w:val="32"/>
          <w:szCs w:val="32"/>
          <w:highlight w:val="none"/>
        </w:rPr>
      </w:pPr>
    </w:p>
    <w:p>
      <w:pPr>
        <w:pStyle w:val="14"/>
        <w:tabs>
          <w:tab w:val="left" w:pos="0"/>
        </w:tabs>
        <w:ind w:left="0" w:leftChars="0" w:firstLine="0"/>
        <w:jc w:val="center"/>
        <w:rPr>
          <w:rFonts w:eastAsia="仿宋_GB2312"/>
          <w:sz w:val="32"/>
          <w:szCs w:val="32"/>
          <w:highlight w:val="none"/>
        </w:rPr>
      </w:pPr>
    </w:p>
    <w:p>
      <w:pPr>
        <w:pStyle w:val="14"/>
        <w:tabs>
          <w:tab w:val="left" w:pos="0"/>
        </w:tabs>
        <w:ind w:left="0" w:leftChars="0" w:firstLine="0"/>
        <w:jc w:val="both"/>
        <w:rPr>
          <w:rFonts w:eastAsia="仿宋_GB2312"/>
          <w:sz w:val="32"/>
          <w:szCs w:val="32"/>
          <w:highlight w:val="none"/>
        </w:rPr>
      </w:pPr>
    </w:p>
    <w:p>
      <w:pPr>
        <w:pStyle w:val="14"/>
        <w:tabs>
          <w:tab w:val="left" w:pos="0"/>
        </w:tabs>
        <w:ind w:left="0" w:leftChars="0" w:firstLine="0"/>
        <w:jc w:val="center"/>
        <w:rPr>
          <w:rFonts w:hint="eastAsia" w:ascii="Times New Roman" w:hAnsi="Times New Roman" w:eastAsia="仿宋_GB2312" w:cs="仿宋"/>
          <w:sz w:val="32"/>
          <w:szCs w:val="32"/>
          <w:highlight w:val="none"/>
          <w:lang w:eastAsia="zh-CN"/>
        </w:rPr>
      </w:pPr>
      <w:r>
        <w:rPr>
          <w:rFonts w:eastAsia="仿宋_GB2312"/>
          <w:sz w:val="32"/>
          <w:szCs w:val="32"/>
          <w:highlight w:val="none"/>
        </w:rPr>
        <w:t>图1.收入预算图</w:t>
      </w:r>
    </w:p>
    <w:p>
      <w:pPr>
        <w:pStyle w:val="14"/>
        <w:tabs>
          <w:tab w:val="left" w:pos="0"/>
        </w:tabs>
        <w:ind w:left="0" w:leftChars="0" w:firstLine="0"/>
        <w:jc w:val="center"/>
        <w:rPr>
          <w:rFonts w:hint="eastAsia" w:ascii="Times New Roman" w:hAnsi="Times New Roman" w:eastAsia="仿宋_GB2312" w:cs="仿宋"/>
          <w:sz w:val="32"/>
          <w:szCs w:val="32"/>
          <w:highlight w:val="none"/>
          <w:lang w:eastAsia="zh-CN"/>
        </w:rPr>
      </w:pP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三、支出预算情况说明</w:t>
      </w:r>
    </w:p>
    <w:p>
      <w:pPr>
        <w:pStyle w:val="10"/>
        <w:tabs>
          <w:tab w:val="left" w:pos="2671"/>
          <w:tab w:val="left" w:pos="5000"/>
          <w:tab w:val="left" w:pos="6190"/>
        </w:tabs>
        <w:spacing w:after="0" w:line="600" w:lineRule="exact"/>
        <w:ind w:firstLine="640" w:firstLineChars="200"/>
        <w:rPr>
          <w:rFonts w:hint="eastAsia" w:eastAsia="仿宋_GB2312"/>
          <w:sz w:val="32"/>
          <w:szCs w:val="32"/>
          <w:highlight w:val="none"/>
          <w:lang w:eastAsia="zh-CN"/>
        </w:rPr>
      </w:pPr>
      <w:r>
        <w:rPr>
          <w:rFonts w:hint="eastAsia" w:ascii="仿宋_GB2312" w:hAnsi="仿宋_GB2312" w:eastAsia="仿宋_GB2312" w:cs="仿宋"/>
          <w:sz w:val="32"/>
          <w:szCs w:val="32"/>
          <w:highlight w:val="none"/>
          <w:lang w:val="en-US" w:eastAsia="zh-CN"/>
        </w:rPr>
        <w:t>内蒙古自治区医疗管理事务服务中心2025</w:t>
      </w:r>
      <w:r>
        <w:rPr>
          <w:rFonts w:hint="eastAsia" w:ascii="仿宋_GB2312" w:hAnsi="仿宋_GB2312" w:eastAsia="仿宋_GB2312" w:cs="仿宋_GB2312"/>
          <w:sz w:val="32"/>
          <w:szCs w:val="32"/>
          <w:highlight w:val="none"/>
        </w:rPr>
        <w:t>年度</w:t>
      </w:r>
      <w:r>
        <w:rPr>
          <w:rFonts w:eastAsia="仿宋_GB2312"/>
          <w:sz w:val="32"/>
          <w:szCs w:val="32"/>
          <w:highlight w:val="none"/>
        </w:rPr>
        <w:t>支出预算合计</w:t>
      </w:r>
      <w:r>
        <w:rPr>
          <w:rFonts w:eastAsia="仿宋_GB2312"/>
          <w:sz w:val="32"/>
          <w:szCs w:val="32"/>
          <w:highlight w:val="none"/>
          <w:u w:val="single"/>
        </w:rPr>
        <w:t xml:space="preserve">     </w:t>
      </w:r>
      <w:r>
        <w:rPr>
          <w:rFonts w:hint="eastAsia" w:ascii="仿宋_GB2312" w:hAnsi="仿宋_GB2312" w:eastAsia="仿宋_GB2312" w:cs="仿宋"/>
          <w:sz w:val="32"/>
          <w:szCs w:val="32"/>
          <w:highlight w:val="none"/>
          <w:lang w:val="en-US" w:eastAsia="zh-CN"/>
        </w:rPr>
        <w:t>583.96</w:t>
      </w:r>
      <w:r>
        <w:rPr>
          <w:rFonts w:eastAsia="仿宋_GB2312"/>
          <w:sz w:val="32"/>
          <w:szCs w:val="32"/>
          <w:highlight w:val="none"/>
        </w:rPr>
        <w:t>万元，其中</w:t>
      </w:r>
      <w:r>
        <w:rPr>
          <w:rFonts w:hint="eastAsia" w:eastAsia="仿宋_GB2312"/>
          <w:sz w:val="32"/>
          <w:szCs w:val="32"/>
          <w:highlight w:val="none"/>
          <w:lang w:eastAsia="zh-CN"/>
        </w:rPr>
        <w:t>：</w:t>
      </w:r>
    </w:p>
    <w:p>
      <w:pPr>
        <w:pStyle w:val="10"/>
        <w:tabs>
          <w:tab w:val="left" w:pos="2671"/>
          <w:tab w:val="left" w:pos="5000"/>
          <w:tab w:val="left" w:pos="6190"/>
        </w:tabs>
        <w:spacing w:after="0" w:line="600" w:lineRule="exact"/>
        <w:ind w:firstLine="640" w:firstLineChars="200"/>
        <w:rPr>
          <w:rFonts w:hint="eastAsia" w:eastAsia="仿宋_GB2312"/>
          <w:sz w:val="32"/>
          <w:szCs w:val="32"/>
          <w:highlight w:val="none"/>
          <w:lang w:eastAsia="zh-CN"/>
        </w:rPr>
      </w:pPr>
      <w:r>
        <w:rPr>
          <w:rFonts w:eastAsia="仿宋_GB2312"/>
          <w:sz w:val="32"/>
          <w:szCs w:val="32"/>
          <w:highlight w:val="none"/>
        </w:rPr>
        <w:t>基本支出</w:t>
      </w:r>
      <w:r>
        <w:rPr>
          <w:rFonts w:hint="eastAsia" w:eastAsia="仿宋_GB2312"/>
          <w:sz w:val="32"/>
          <w:szCs w:val="32"/>
          <w:highlight w:val="none"/>
          <w:lang w:val="en-US" w:eastAsia="zh-CN"/>
        </w:rPr>
        <w:t>487.96</w:t>
      </w:r>
      <w:r>
        <w:rPr>
          <w:rFonts w:eastAsia="仿宋_GB2312"/>
          <w:sz w:val="32"/>
          <w:szCs w:val="32"/>
          <w:highlight w:val="none"/>
        </w:rPr>
        <w:t>万元，占</w:t>
      </w:r>
      <w:r>
        <w:rPr>
          <w:rFonts w:hint="eastAsia" w:eastAsia="仿宋_GB2312"/>
          <w:sz w:val="32"/>
          <w:szCs w:val="32"/>
          <w:highlight w:val="none"/>
          <w:lang w:val="en-US" w:eastAsia="zh-CN"/>
        </w:rPr>
        <w:t>83.56</w:t>
      </w:r>
      <w:r>
        <w:rPr>
          <w:rFonts w:hint="eastAsia" w:ascii="仿宋_GB2312" w:hAnsi="仿宋_GB2312" w:eastAsia="仿宋_GB2312"/>
          <w:sz w:val="32"/>
          <w:szCs w:val="32"/>
          <w:highlight w:val="none"/>
          <w:lang w:eastAsia="zh-CN"/>
        </w:rPr>
        <w:t>%</w:t>
      </w:r>
      <w:r>
        <w:rPr>
          <w:rFonts w:hint="eastAsia" w:eastAsia="仿宋_GB2312"/>
          <w:sz w:val="32"/>
          <w:szCs w:val="32"/>
          <w:highlight w:val="none"/>
          <w:lang w:eastAsia="zh-CN"/>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项目支出</w:t>
      </w:r>
      <w:r>
        <w:rPr>
          <w:rFonts w:hint="eastAsia" w:eastAsia="仿宋_GB2312"/>
          <w:sz w:val="32"/>
          <w:szCs w:val="32"/>
          <w:highlight w:val="none"/>
          <w:lang w:val="en-US" w:eastAsia="zh-CN"/>
        </w:rPr>
        <w:t>96.00</w:t>
      </w:r>
      <w:r>
        <w:rPr>
          <w:rFonts w:eastAsia="仿宋_GB2312"/>
          <w:sz w:val="32"/>
          <w:szCs w:val="32"/>
          <w:highlight w:val="none"/>
        </w:rPr>
        <w:t>万元，占</w:t>
      </w:r>
      <w:r>
        <w:rPr>
          <w:rFonts w:hint="eastAsia" w:eastAsia="仿宋_GB2312"/>
          <w:sz w:val="32"/>
          <w:szCs w:val="32"/>
          <w:highlight w:val="none"/>
          <w:lang w:val="en-US" w:eastAsia="zh-CN"/>
        </w:rPr>
        <w:t>16.44</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ascii="Times New Roman" w:hAnsi="Times New Roman" w:eastAsia="仿宋_GB2312" w:cs="仿宋"/>
          <w:sz w:val="32"/>
          <w:szCs w:val="32"/>
          <w:highlight w:val="none"/>
        </w:rPr>
      </w:pPr>
      <w:r>
        <w:rPr>
          <w:rFonts w:eastAsia="仿宋_GB2312"/>
          <w:sz w:val="32"/>
          <w:szCs w:val="32"/>
          <w:highlight w:val="none"/>
        </w:rPr>
        <w:t>事业单位经营支出</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上缴上级支出</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ascii="Times New Roman" w:hAnsi="Times New Roman" w:eastAsia="仿宋_GB2312" w:cs="仿宋"/>
          <w:sz w:val="32"/>
          <w:szCs w:val="32"/>
          <w:highlight w:val="none"/>
        </w:rPr>
      </w:pPr>
      <w:r>
        <w:rPr>
          <w:rFonts w:eastAsia="仿宋_GB2312"/>
          <w:sz w:val="32"/>
          <w:szCs w:val="32"/>
          <w:highlight w:val="none"/>
        </w:rPr>
        <w:t>对附属单位补助支出</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w:t>
      </w:r>
    </w:p>
    <w:p>
      <w:pPr>
        <w:pStyle w:val="14"/>
        <w:ind w:left="0" w:leftChars="0" w:firstLine="220"/>
        <w:jc w:val="center"/>
        <w:rPr>
          <w:rFonts w:hint="default" w:eastAsia="仿宋_GB2312"/>
          <w:sz w:val="32"/>
          <w:szCs w:val="32"/>
          <w:highlight w:val="none"/>
        </w:rPr>
      </w:pPr>
      <w:r>
        <w:drawing>
          <wp:inline distT="0" distB="0" distL="114300" distR="114300">
            <wp:extent cx="4693285" cy="1732280"/>
            <wp:effectExtent l="4445" t="4445" r="7620" b="1587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pStyle w:val="14"/>
        <w:ind w:left="0" w:leftChars="0" w:firstLine="220"/>
        <w:jc w:val="center"/>
        <w:rPr>
          <w:rFonts w:hint="eastAsia" w:ascii="Times New Roman" w:hAnsi="Times New Roman" w:eastAsia="仿宋_GB2312" w:cs="仿宋"/>
          <w:sz w:val="32"/>
          <w:szCs w:val="32"/>
          <w:highlight w:val="none"/>
        </w:rPr>
      </w:pPr>
      <w:r>
        <w:rPr>
          <w:rFonts w:eastAsia="仿宋_GB2312"/>
          <w:sz w:val="32"/>
          <w:szCs w:val="32"/>
          <w:highlight w:val="none"/>
        </w:rPr>
        <w:t>图2.支出预算图</w:t>
      </w:r>
    </w:p>
    <w:p>
      <w:pPr>
        <w:spacing w:line="600" w:lineRule="exact"/>
        <w:ind w:left="6" w:leftChars="0" w:firstLine="633" w:firstLineChars="198"/>
        <w:outlineLvl w:val="2"/>
        <w:rPr>
          <w:rFonts w:eastAsia="黑体" w:cs="黑体"/>
          <w:sz w:val="32"/>
          <w:szCs w:val="36"/>
          <w:highlight w:val="none"/>
        </w:rPr>
      </w:pPr>
      <w:r>
        <w:rPr>
          <w:rFonts w:hint="eastAsia" w:eastAsia="黑体" w:cs="黑体"/>
          <w:sz w:val="32"/>
          <w:szCs w:val="36"/>
          <w:highlight w:val="none"/>
        </w:rPr>
        <w:t>四、财政拨款收支预算总体情况说明</w:t>
      </w:r>
    </w:p>
    <w:p>
      <w:pPr>
        <w:pStyle w:val="10"/>
        <w:tabs>
          <w:tab w:val="left" w:pos="2671"/>
          <w:tab w:val="left" w:pos="5000"/>
          <w:tab w:val="left" w:pos="6190"/>
        </w:tabs>
        <w:spacing w:after="0" w:line="600" w:lineRule="exact"/>
        <w:ind w:firstLine="640" w:firstLineChars="200"/>
        <w:rPr>
          <w:rFonts w:ascii="Times New Roman" w:hAnsi="Times New Roman" w:eastAsia="仿宋_GB2312" w:cs="仿宋"/>
          <w:sz w:val="32"/>
          <w:szCs w:val="32"/>
          <w:highlight w:val="none"/>
        </w:rPr>
      </w:pPr>
      <w:r>
        <w:rPr>
          <w:rFonts w:hint="eastAsia" w:ascii="仿宋_GB2312" w:hAnsi="仿宋_GB2312" w:eastAsia="仿宋_GB2312" w:cs="仿宋"/>
          <w:sz w:val="32"/>
          <w:szCs w:val="32"/>
          <w:highlight w:val="none"/>
          <w:lang w:val="en-US" w:eastAsia="zh-CN"/>
        </w:rPr>
        <w:t>内蒙古自治区医疗管理事务服务中心2025</w:t>
      </w:r>
      <w:r>
        <w:rPr>
          <w:rFonts w:eastAsia="仿宋_GB2312"/>
          <w:sz w:val="32"/>
          <w:szCs w:val="32"/>
          <w:highlight w:val="none"/>
        </w:rPr>
        <w:t>年度财政拨款收、支总预算</w:t>
      </w:r>
      <w:r>
        <w:rPr>
          <w:rFonts w:hint="eastAsia" w:eastAsia="仿宋_GB2312"/>
          <w:sz w:val="32"/>
          <w:szCs w:val="32"/>
          <w:highlight w:val="none"/>
          <w:lang w:val="en-US" w:eastAsia="zh-CN"/>
        </w:rPr>
        <w:t>583.96</w:t>
      </w:r>
      <w:r>
        <w:rPr>
          <w:rFonts w:eastAsia="仿宋_GB2312"/>
          <w:sz w:val="32"/>
          <w:szCs w:val="32"/>
          <w:highlight w:val="none"/>
        </w:rPr>
        <w:t>万元。与上年相比，财政拨款收、支总计各增加</w:t>
      </w:r>
      <w:r>
        <w:rPr>
          <w:rFonts w:hint="eastAsia" w:eastAsia="仿宋_GB2312"/>
          <w:sz w:val="32"/>
          <w:szCs w:val="32"/>
          <w:highlight w:val="none"/>
          <w:lang w:val="en-US" w:eastAsia="zh-CN"/>
        </w:rPr>
        <w:t>13.01</w:t>
      </w:r>
      <w:r>
        <w:rPr>
          <w:rFonts w:eastAsia="仿宋_GB2312"/>
          <w:sz w:val="32"/>
          <w:szCs w:val="32"/>
          <w:highlight w:val="none"/>
        </w:rPr>
        <w:t>万元，增长</w:t>
      </w:r>
      <w:r>
        <w:rPr>
          <w:rFonts w:hint="eastAsia" w:eastAsia="仿宋_GB2312"/>
          <w:sz w:val="32"/>
          <w:szCs w:val="32"/>
          <w:highlight w:val="none"/>
          <w:lang w:val="en-US" w:eastAsia="zh-CN"/>
        </w:rPr>
        <w:t>2.28</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eastAsia="仿宋_GB2312"/>
          <w:sz w:val="32"/>
          <w:szCs w:val="32"/>
          <w:highlight w:val="none"/>
          <w:lang w:val="en-US" w:eastAsia="zh-CN"/>
        </w:rPr>
        <w:t>本年人员</w:t>
      </w:r>
      <w:r>
        <w:rPr>
          <w:rFonts w:hint="eastAsia" w:ascii="仿宋_GB2312" w:hAnsi="仿宋_GB2312" w:eastAsia="仿宋_GB2312"/>
          <w:sz w:val="32"/>
          <w:szCs w:val="32"/>
          <w:highlight w:val="none"/>
          <w:lang w:val="en-US" w:eastAsia="zh-CN"/>
        </w:rPr>
        <w:t>工资增长，各项社保缴费基数均有所增加，</w:t>
      </w:r>
      <w:r>
        <w:rPr>
          <w:rFonts w:eastAsia="仿宋_GB2312"/>
          <w:sz w:val="32"/>
          <w:szCs w:val="32"/>
          <w:highlight w:val="none"/>
        </w:rPr>
        <w:t>财政拨款收、支总预算</w:t>
      </w:r>
      <w:r>
        <w:rPr>
          <w:rFonts w:hint="eastAsia" w:eastAsia="仿宋_GB2312"/>
          <w:sz w:val="32"/>
          <w:szCs w:val="32"/>
          <w:highlight w:val="none"/>
          <w:lang w:val="en-US" w:eastAsia="zh-CN"/>
        </w:rPr>
        <w:t>相应增加</w:t>
      </w:r>
      <w:r>
        <w:rPr>
          <w:rFonts w:eastAsia="仿宋_GB2312"/>
          <w:sz w:val="32"/>
          <w:szCs w:val="32"/>
          <w:highlight w:val="none"/>
        </w:rPr>
        <w:t>。</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五、一般公共预算支出预算情况说明</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hint="eastAsia" w:ascii="仿宋_GB2312" w:hAnsi="仿宋_GB2312" w:eastAsia="仿宋_GB2312" w:cs="仿宋"/>
          <w:sz w:val="32"/>
          <w:szCs w:val="32"/>
          <w:highlight w:val="none"/>
          <w:lang w:val="en-US" w:eastAsia="zh-CN"/>
        </w:rPr>
        <w:t>内蒙古自治区医疗管理事务服务中心2025</w:t>
      </w:r>
      <w:r>
        <w:rPr>
          <w:rFonts w:hint="eastAsia" w:ascii="仿宋_GB2312" w:hAnsi="仿宋_GB2312" w:eastAsia="仿宋_GB2312" w:cs="仿宋_GB2312"/>
          <w:sz w:val="32"/>
          <w:szCs w:val="32"/>
          <w:highlight w:val="none"/>
        </w:rPr>
        <w:t>年度</w:t>
      </w:r>
      <w:r>
        <w:rPr>
          <w:rFonts w:eastAsia="仿宋_GB2312"/>
          <w:sz w:val="32"/>
          <w:szCs w:val="32"/>
          <w:highlight w:val="none"/>
        </w:rPr>
        <w:t>一般公共预算财政拨款支出预算</w:t>
      </w:r>
      <w:r>
        <w:rPr>
          <w:rFonts w:hint="eastAsia" w:eastAsia="仿宋_GB2312"/>
          <w:sz w:val="32"/>
          <w:szCs w:val="32"/>
          <w:highlight w:val="none"/>
          <w:lang w:val="en-US" w:eastAsia="zh-CN"/>
        </w:rPr>
        <w:t>583.96</w:t>
      </w:r>
      <w:r>
        <w:rPr>
          <w:rFonts w:eastAsia="仿宋_GB2312"/>
          <w:sz w:val="32"/>
          <w:szCs w:val="32"/>
          <w:highlight w:val="none"/>
        </w:rPr>
        <w:t>万元，与上年相比增加</w:t>
      </w:r>
      <w:r>
        <w:rPr>
          <w:rFonts w:hint="eastAsia" w:eastAsia="仿宋_GB2312"/>
          <w:sz w:val="32"/>
          <w:szCs w:val="32"/>
          <w:highlight w:val="none"/>
          <w:lang w:val="en-US" w:eastAsia="zh-CN"/>
        </w:rPr>
        <w:t>13.01</w:t>
      </w:r>
      <w:r>
        <w:rPr>
          <w:rFonts w:eastAsia="仿宋_GB2312"/>
          <w:sz w:val="32"/>
          <w:szCs w:val="32"/>
          <w:highlight w:val="none"/>
        </w:rPr>
        <w:t>万元，增长</w:t>
      </w:r>
      <w:r>
        <w:rPr>
          <w:rFonts w:hint="eastAsia" w:eastAsia="仿宋_GB2312"/>
          <w:sz w:val="32"/>
          <w:szCs w:val="32"/>
          <w:highlight w:val="none"/>
          <w:lang w:val="en-US" w:eastAsia="zh-CN"/>
        </w:rPr>
        <w:t>2.28</w:t>
      </w:r>
      <w:r>
        <w:rPr>
          <w:rFonts w:hint="eastAsia" w:ascii="仿宋_GB2312" w:hAnsi="仿宋_GB2312" w:eastAsia="仿宋_GB2312"/>
          <w:sz w:val="32"/>
          <w:szCs w:val="32"/>
          <w:highlight w:val="none"/>
          <w:lang w:eastAsia="zh-CN"/>
        </w:rPr>
        <w:t>%</w:t>
      </w:r>
      <w:r>
        <w:rPr>
          <w:rFonts w:eastAsia="仿宋_GB2312"/>
          <w:sz w:val="32"/>
          <w:szCs w:val="32"/>
          <w:highlight w:val="none"/>
        </w:rPr>
        <w:t>。</w:t>
      </w:r>
      <w:r>
        <w:rPr>
          <w:rFonts w:hint="eastAsia" w:eastAsia="仿宋_GB2312"/>
          <w:sz w:val="32"/>
          <w:szCs w:val="32"/>
          <w:highlight w:val="none"/>
        </w:rPr>
        <w:t>具体情况如下：</w:t>
      </w:r>
    </w:p>
    <w:p>
      <w:pPr>
        <w:pStyle w:val="10"/>
        <w:tabs>
          <w:tab w:val="left" w:pos="4275"/>
        </w:tabs>
        <w:spacing w:after="0" w:line="600" w:lineRule="exact"/>
        <w:ind w:firstLine="643" w:firstLineChars="200"/>
        <w:rPr>
          <w:rFonts w:ascii="楷体" w:hAnsi="楷体" w:eastAsia="楷体" w:cs="楷体"/>
          <w:b/>
          <w:bCs/>
          <w:sz w:val="32"/>
          <w:szCs w:val="32"/>
          <w:highlight w:val="none"/>
        </w:rPr>
      </w:pPr>
      <w:r>
        <w:rPr>
          <w:rFonts w:hint="eastAsia" w:ascii="楷体" w:hAnsi="楷体" w:eastAsia="楷体" w:cs="楷体"/>
          <w:b/>
          <w:bCs/>
          <w:sz w:val="32"/>
          <w:szCs w:val="32"/>
          <w:highlight w:val="none"/>
        </w:rPr>
        <w:t>（一）</w:t>
      </w:r>
      <w:r>
        <w:rPr>
          <w:rFonts w:hint="eastAsia" w:ascii="楷体" w:hAnsi="楷体" w:eastAsia="楷体" w:cs="楷体"/>
          <w:b/>
          <w:bCs/>
          <w:sz w:val="32"/>
          <w:szCs w:val="32"/>
          <w:highlight w:val="none"/>
          <w:lang w:val="en-US" w:eastAsia="zh-CN"/>
        </w:rPr>
        <w:t>社会和保障就业</w:t>
      </w:r>
      <w:r>
        <w:rPr>
          <w:rFonts w:hint="eastAsia" w:ascii="楷体" w:hAnsi="楷体" w:eastAsia="楷体" w:cs="楷体"/>
          <w:b/>
          <w:bCs/>
          <w:sz w:val="32"/>
          <w:szCs w:val="32"/>
          <w:highlight w:val="none"/>
        </w:rPr>
        <w:t>（类）</w:t>
      </w:r>
    </w:p>
    <w:p>
      <w:pPr>
        <w:pStyle w:val="10"/>
        <w:spacing w:after="0" w:line="600" w:lineRule="exact"/>
        <w:ind w:firstLine="640" w:firstLineChars="200"/>
        <w:rPr>
          <w:rFonts w:eastAsia="仿宋_GB2312"/>
          <w:sz w:val="32"/>
          <w:szCs w:val="32"/>
          <w:highlight w:val="none"/>
        </w:rPr>
      </w:pPr>
      <w:r>
        <w:rPr>
          <w:rFonts w:hint="eastAsia" w:eastAsia="仿宋_GB2312"/>
          <w:sz w:val="32"/>
          <w:szCs w:val="32"/>
          <w:highlight w:val="none"/>
          <w:lang w:val="en-US" w:eastAsia="zh-CN"/>
        </w:rPr>
        <w:t>社会保障和就业</w:t>
      </w:r>
      <w:r>
        <w:rPr>
          <w:rFonts w:hint="eastAsia" w:eastAsia="仿宋_GB2312"/>
          <w:sz w:val="32"/>
          <w:szCs w:val="32"/>
          <w:highlight w:val="none"/>
        </w:rPr>
        <w:t>类年初预算数为</w:t>
      </w:r>
      <w:r>
        <w:rPr>
          <w:rFonts w:hint="eastAsia" w:eastAsia="仿宋_GB2312"/>
          <w:sz w:val="32"/>
          <w:szCs w:val="32"/>
          <w:highlight w:val="none"/>
          <w:lang w:val="en-US" w:eastAsia="zh-CN"/>
        </w:rPr>
        <w:t>105.96</w:t>
      </w:r>
      <w:r>
        <w:rPr>
          <w:rFonts w:eastAsia="仿宋_GB2312"/>
          <w:sz w:val="32"/>
          <w:szCs w:val="32"/>
          <w:highlight w:val="none"/>
        </w:rPr>
        <w:t>万元</w:t>
      </w:r>
      <w:r>
        <w:rPr>
          <w:rFonts w:hint="eastAsia" w:eastAsia="仿宋_GB2312"/>
          <w:sz w:val="32"/>
          <w:szCs w:val="32"/>
          <w:highlight w:val="none"/>
        </w:rPr>
        <w:t>，与上年相比</w:t>
      </w:r>
      <w:r>
        <w:rPr>
          <w:rFonts w:eastAsia="仿宋_GB2312"/>
          <w:sz w:val="32"/>
          <w:szCs w:val="32"/>
          <w:highlight w:val="none"/>
        </w:rPr>
        <w:t>增加</w:t>
      </w:r>
      <w:r>
        <w:rPr>
          <w:rFonts w:hint="eastAsia" w:eastAsia="仿宋_GB2312"/>
          <w:sz w:val="32"/>
          <w:szCs w:val="32"/>
          <w:highlight w:val="none"/>
          <w:lang w:val="en-US" w:eastAsia="zh-CN"/>
        </w:rPr>
        <w:t>8.42</w:t>
      </w:r>
      <w:r>
        <w:rPr>
          <w:rFonts w:eastAsia="仿宋_GB2312"/>
          <w:sz w:val="32"/>
          <w:szCs w:val="32"/>
          <w:highlight w:val="none"/>
        </w:rPr>
        <w:t>万元</w:t>
      </w:r>
      <w:r>
        <w:rPr>
          <w:rFonts w:hint="eastAsia" w:eastAsia="仿宋_GB2312"/>
          <w:sz w:val="32"/>
          <w:szCs w:val="32"/>
          <w:highlight w:val="none"/>
        </w:rPr>
        <w:t>。其中：</w:t>
      </w:r>
    </w:p>
    <w:p>
      <w:pPr>
        <w:pStyle w:val="10"/>
        <w:spacing w:after="0" w:line="600" w:lineRule="exact"/>
        <w:ind w:firstLine="640" w:firstLineChars="200"/>
        <w:rPr>
          <w:rFonts w:eastAsia="仿宋_GB2312"/>
          <w:sz w:val="32"/>
          <w:szCs w:val="32"/>
          <w:highlight w:val="none"/>
        </w:rPr>
      </w:pPr>
      <w:r>
        <w:rPr>
          <w:rFonts w:eastAsia="仿宋_GB2312"/>
          <w:sz w:val="32"/>
          <w:szCs w:val="32"/>
          <w:highlight w:val="none"/>
        </w:rPr>
        <w:t>1.</w:t>
      </w:r>
      <w:r>
        <w:rPr>
          <w:rFonts w:hint="eastAsia" w:eastAsia="仿宋_GB2312"/>
          <w:sz w:val="32"/>
          <w:szCs w:val="32"/>
          <w:highlight w:val="none"/>
          <w:lang w:val="en-US" w:eastAsia="zh-CN"/>
        </w:rPr>
        <w:t>行政事业单位养老支出（款）事业单位离退休（项）。</w:t>
      </w:r>
      <w:r>
        <w:rPr>
          <w:rFonts w:eastAsia="仿宋_GB2312"/>
          <w:sz w:val="32"/>
          <w:szCs w:val="32"/>
          <w:highlight w:val="none"/>
        </w:rPr>
        <w:t>年初预算</w:t>
      </w:r>
      <w:r>
        <w:rPr>
          <w:rFonts w:hint="eastAsia" w:eastAsia="仿宋_GB2312"/>
          <w:sz w:val="32"/>
          <w:szCs w:val="32"/>
          <w:highlight w:val="none"/>
          <w:lang w:val="en-US" w:eastAsia="zh-CN"/>
        </w:rPr>
        <w:t>52.38</w:t>
      </w:r>
      <w:r>
        <w:rPr>
          <w:rFonts w:eastAsia="仿宋_GB2312"/>
          <w:sz w:val="32"/>
          <w:szCs w:val="32"/>
          <w:highlight w:val="none"/>
        </w:rPr>
        <w:t>万元，与上年相比增加</w:t>
      </w:r>
      <w:r>
        <w:rPr>
          <w:rFonts w:hint="eastAsia" w:eastAsia="仿宋_GB2312"/>
          <w:sz w:val="32"/>
          <w:szCs w:val="32"/>
          <w:highlight w:val="none"/>
          <w:lang w:val="en-US" w:eastAsia="zh-CN"/>
        </w:rPr>
        <w:t>1.94</w:t>
      </w:r>
      <w:r>
        <w:rPr>
          <w:rFonts w:eastAsia="仿宋_GB2312"/>
          <w:sz w:val="32"/>
          <w:szCs w:val="32"/>
          <w:highlight w:val="none"/>
        </w:rPr>
        <w:t>万元，增长</w:t>
      </w:r>
      <w:r>
        <w:rPr>
          <w:rFonts w:hint="eastAsia" w:eastAsia="仿宋_GB2312"/>
          <w:sz w:val="32"/>
          <w:szCs w:val="32"/>
          <w:highlight w:val="none"/>
          <w:lang w:val="en-US" w:eastAsia="zh-CN"/>
        </w:rPr>
        <w:t>3.85</w:t>
      </w:r>
      <w:r>
        <w:rPr>
          <w:rFonts w:hint="eastAsia" w:ascii="仿宋_GB2312" w:hAnsi="仿宋_GB2312" w:eastAsia="仿宋_GB2312"/>
          <w:sz w:val="32"/>
          <w:szCs w:val="32"/>
          <w:highlight w:val="none"/>
          <w:lang w:eastAsia="zh-CN"/>
        </w:rPr>
        <w:t>%</w:t>
      </w:r>
      <w:r>
        <w:rPr>
          <w:rFonts w:eastAsia="仿宋_GB2312"/>
          <w:sz w:val="32"/>
          <w:szCs w:val="32"/>
          <w:highlight w:val="none"/>
        </w:rPr>
        <w:t>。变动原因：</w:t>
      </w:r>
      <w:r>
        <w:rPr>
          <w:rFonts w:hint="eastAsia" w:ascii="仿宋_GB2312" w:hAnsi="仿宋_GB2312" w:eastAsia="仿宋_GB2312"/>
          <w:sz w:val="32"/>
          <w:szCs w:val="32"/>
          <w:highlight w:val="none"/>
          <w:lang w:val="en-US" w:eastAsia="zh-CN"/>
        </w:rPr>
        <w:t>调整发放退休人员补贴项目，支出增加</w:t>
      </w:r>
      <w:r>
        <w:rPr>
          <w:rFonts w:eastAsia="仿宋_GB2312"/>
          <w:sz w:val="32"/>
          <w:szCs w:val="32"/>
          <w:highlight w:val="none"/>
        </w:rPr>
        <w:t>。</w:t>
      </w:r>
    </w:p>
    <w:p>
      <w:pPr>
        <w:pStyle w:val="10"/>
        <w:spacing w:after="0" w:line="600" w:lineRule="exact"/>
        <w:ind w:firstLine="640" w:firstLineChars="200"/>
        <w:rPr>
          <w:rFonts w:hint="eastAsia" w:eastAsia="仿宋_GB2312"/>
          <w:sz w:val="32"/>
          <w:szCs w:val="32"/>
          <w:highlight w:val="none"/>
          <w:lang w:val="en-US" w:eastAsia="zh-CN"/>
        </w:rPr>
      </w:pPr>
      <w:r>
        <w:rPr>
          <w:rFonts w:eastAsia="仿宋_GB2312"/>
          <w:sz w:val="32"/>
          <w:szCs w:val="32"/>
          <w:highlight w:val="none"/>
        </w:rPr>
        <w:t>2.</w:t>
      </w:r>
      <w:r>
        <w:rPr>
          <w:rFonts w:hint="eastAsia" w:eastAsia="仿宋_GB2312"/>
          <w:sz w:val="32"/>
          <w:szCs w:val="32"/>
          <w:highlight w:val="none"/>
          <w:lang w:val="en-US" w:eastAsia="zh-CN"/>
        </w:rPr>
        <w:t>行政事业单位养老支出（款）机关事业单位基本养老保险缴费支出（项）。年初预算35.72万元，与上年相比增加4.32万元，增长13.76%。变动原因：因人员工资增加，机关事业单位基本养老保险缴费基数增加。</w:t>
      </w:r>
    </w:p>
    <w:p>
      <w:pPr>
        <w:pStyle w:val="10"/>
        <w:spacing w:after="0" w:line="60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val="en-US" w:eastAsia="zh-CN"/>
        </w:rPr>
        <w:t>3.行政事业单位养老支出（款）机关事业单位职业年金缴费支出（项）。年初预算17.86万元，与上年相比增加2.16万元，增长13.76%。变动原因：因人员工资增加，核定机关事业单位职业年金缴费基数增加。</w:t>
      </w:r>
    </w:p>
    <w:p>
      <w:pPr>
        <w:pStyle w:val="10"/>
        <w:tabs>
          <w:tab w:val="left" w:pos="4275"/>
        </w:tabs>
        <w:spacing w:after="0" w:line="600" w:lineRule="exact"/>
        <w:ind w:firstLine="643" w:firstLineChars="200"/>
        <w:rPr>
          <w:rFonts w:ascii="楷体" w:hAnsi="楷体" w:eastAsia="楷体" w:cs="楷体"/>
          <w:b/>
          <w:bCs/>
          <w:sz w:val="32"/>
          <w:szCs w:val="32"/>
          <w:highlight w:val="none"/>
        </w:rPr>
      </w:pPr>
      <w:r>
        <w:rPr>
          <w:rFonts w:hint="eastAsia" w:ascii="楷体" w:hAnsi="楷体" w:eastAsia="楷体" w:cs="楷体"/>
          <w:b/>
          <w:bCs/>
          <w:sz w:val="32"/>
          <w:szCs w:val="32"/>
          <w:highlight w:val="none"/>
        </w:rPr>
        <w:t>（二）</w:t>
      </w:r>
      <w:r>
        <w:rPr>
          <w:rFonts w:hint="eastAsia" w:ascii="楷体" w:hAnsi="楷体" w:eastAsia="楷体"/>
          <w:b/>
          <w:sz w:val="32"/>
          <w:szCs w:val="32"/>
        </w:rPr>
        <w:t>卫生健康</w:t>
      </w:r>
      <w:r>
        <w:rPr>
          <w:rFonts w:hint="eastAsia" w:ascii="楷体" w:hAnsi="楷体" w:eastAsia="楷体" w:cs="楷体"/>
          <w:b/>
          <w:bCs/>
          <w:sz w:val="32"/>
          <w:szCs w:val="32"/>
          <w:highlight w:val="none"/>
        </w:rPr>
        <w:t>（类）</w:t>
      </w:r>
    </w:p>
    <w:p>
      <w:pPr>
        <w:pStyle w:val="10"/>
        <w:spacing w:after="0" w:line="600" w:lineRule="exact"/>
        <w:ind w:firstLine="640" w:firstLineChars="200"/>
        <w:rPr>
          <w:rFonts w:eastAsia="仿宋_GB2312"/>
          <w:sz w:val="32"/>
          <w:szCs w:val="32"/>
          <w:highlight w:val="none"/>
        </w:rPr>
      </w:pPr>
      <w:r>
        <w:rPr>
          <w:rFonts w:hint="eastAsia" w:eastAsia="仿宋_GB2312"/>
          <w:sz w:val="32"/>
          <w:szCs w:val="32"/>
          <w:highlight w:val="none"/>
        </w:rPr>
        <w:t>卫生健康类年初预算数为</w:t>
      </w:r>
      <w:r>
        <w:rPr>
          <w:rFonts w:hint="eastAsia" w:eastAsia="仿宋_GB2312"/>
          <w:sz w:val="32"/>
          <w:szCs w:val="32"/>
          <w:highlight w:val="none"/>
          <w:lang w:val="en-US" w:eastAsia="zh-CN"/>
        </w:rPr>
        <w:t>443.82</w:t>
      </w:r>
      <w:r>
        <w:rPr>
          <w:rFonts w:eastAsia="仿宋_GB2312"/>
          <w:sz w:val="32"/>
          <w:szCs w:val="32"/>
          <w:highlight w:val="none"/>
        </w:rPr>
        <w:t>万元</w:t>
      </w:r>
      <w:r>
        <w:rPr>
          <w:rFonts w:hint="eastAsia" w:eastAsia="仿宋_GB2312"/>
          <w:sz w:val="32"/>
          <w:szCs w:val="32"/>
          <w:highlight w:val="none"/>
        </w:rPr>
        <w:t>，与上年相比</w:t>
      </w:r>
      <w:r>
        <w:rPr>
          <w:rFonts w:eastAsia="仿宋_GB2312"/>
          <w:sz w:val="32"/>
          <w:szCs w:val="32"/>
          <w:highlight w:val="none"/>
        </w:rPr>
        <w:t>增加</w:t>
      </w:r>
      <w:r>
        <w:rPr>
          <w:rFonts w:hint="eastAsia" w:eastAsia="仿宋_GB2312"/>
          <w:sz w:val="32"/>
          <w:szCs w:val="32"/>
          <w:highlight w:val="none"/>
          <w:lang w:val="en-US" w:eastAsia="zh-CN"/>
        </w:rPr>
        <w:t>1.10</w:t>
      </w:r>
      <w:r>
        <w:rPr>
          <w:rFonts w:eastAsia="仿宋_GB2312"/>
          <w:sz w:val="32"/>
          <w:szCs w:val="32"/>
          <w:highlight w:val="none"/>
        </w:rPr>
        <w:t>万元</w:t>
      </w:r>
      <w:r>
        <w:rPr>
          <w:rFonts w:hint="eastAsia" w:eastAsia="仿宋_GB2312"/>
          <w:sz w:val="32"/>
          <w:szCs w:val="32"/>
          <w:highlight w:val="none"/>
        </w:rPr>
        <w:t>。其中：</w:t>
      </w:r>
    </w:p>
    <w:p>
      <w:pPr>
        <w:pStyle w:val="10"/>
        <w:spacing w:after="0" w:line="600" w:lineRule="exact"/>
        <w:ind w:firstLine="640" w:firstLineChars="200"/>
        <w:rPr>
          <w:rFonts w:hint="eastAsia" w:eastAsia="仿宋_GB2312"/>
          <w:sz w:val="32"/>
          <w:szCs w:val="32"/>
          <w:highlight w:val="none"/>
        </w:rPr>
      </w:pPr>
      <w:r>
        <w:rPr>
          <w:rFonts w:eastAsia="仿宋_GB2312"/>
          <w:sz w:val="32"/>
          <w:szCs w:val="32"/>
          <w:highlight w:val="none"/>
        </w:rPr>
        <w:t>1．</w:t>
      </w:r>
      <w:r>
        <w:rPr>
          <w:rFonts w:hint="eastAsia" w:eastAsia="仿宋_GB2312"/>
          <w:sz w:val="32"/>
          <w:szCs w:val="32"/>
          <w:highlight w:val="none"/>
        </w:rPr>
        <w:t>卫生健康管理事务（款）其他卫生健康管理事务支出（项）。年初预算</w:t>
      </w:r>
      <w:r>
        <w:rPr>
          <w:rFonts w:hint="eastAsia" w:eastAsia="仿宋_GB2312"/>
          <w:sz w:val="32"/>
          <w:szCs w:val="32"/>
          <w:highlight w:val="none"/>
          <w:lang w:val="en-US" w:eastAsia="zh-CN"/>
        </w:rPr>
        <w:t>385.27</w:t>
      </w:r>
      <w:r>
        <w:rPr>
          <w:rFonts w:hint="eastAsia" w:eastAsia="仿宋_GB2312"/>
          <w:sz w:val="32"/>
          <w:szCs w:val="32"/>
          <w:highlight w:val="none"/>
        </w:rPr>
        <w:t>万元，与上年相比增加</w:t>
      </w:r>
      <w:r>
        <w:rPr>
          <w:rFonts w:hint="eastAsia" w:eastAsia="仿宋_GB2312"/>
          <w:sz w:val="32"/>
          <w:szCs w:val="32"/>
          <w:highlight w:val="none"/>
          <w:lang w:val="en-US" w:eastAsia="zh-CN"/>
        </w:rPr>
        <w:t>0.54</w:t>
      </w:r>
      <w:r>
        <w:rPr>
          <w:rFonts w:hint="eastAsia" w:eastAsia="仿宋_GB2312"/>
          <w:sz w:val="32"/>
          <w:szCs w:val="32"/>
          <w:highlight w:val="none"/>
        </w:rPr>
        <w:t>万元，增长</w:t>
      </w:r>
      <w:r>
        <w:rPr>
          <w:rFonts w:hint="eastAsia" w:eastAsia="仿宋_GB2312"/>
          <w:sz w:val="32"/>
          <w:szCs w:val="32"/>
          <w:highlight w:val="none"/>
          <w:lang w:val="en-US" w:eastAsia="zh-CN"/>
        </w:rPr>
        <w:t>0.14</w:t>
      </w:r>
      <w:r>
        <w:rPr>
          <w:rFonts w:hint="eastAsia" w:eastAsia="仿宋_GB2312"/>
          <w:sz w:val="32"/>
          <w:szCs w:val="32"/>
          <w:highlight w:val="none"/>
          <w:lang w:eastAsia="zh-CN"/>
        </w:rPr>
        <w:t>%</w:t>
      </w:r>
      <w:r>
        <w:rPr>
          <w:rFonts w:hint="eastAsia" w:eastAsia="仿宋_GB2312"/>
          <w:sz w:val="32"/>
          <w:szCs w:val="32"/>
          <w:highlight w:val="none"/>
        </w:rPr>
        <w:t>。变动原因：</w:t>
      </w:r>
      <w:r>
        <w:rPr>
          <w:rFonts w:hint="eastAsia" w:eastAsia="仿宋_GB2312"/>
          <w:sz w:val="32"/>
          <w:szCs w:val="32"/>
          <w:highlight w:val="none"/>
          <w:lang w:val="en-US" w:eastAsia="zh-CN"/>
        </w:rPr>
        <w:t>本年工资增加，基本支出相应增加；我单位承接项目调整，项目支出相应减少，故</w:t>
      </w:r>
      <w:r>
        <w:rPr>
          <w:rFonts w:hint="eastAsia" w:eastAsia="仿宋_GB2312"/>
          <w:sz w:val="32"/>
          <w:szCs w:val="32"/>
          <w:highlight w:val="none"/>
        </w:rPr>
        <w:t>其他卫生健康管理事务支出</w:t>
      </w:r>
      <w:r>
        <w:rPr>
          <w:rFonts w:hint="eastAsia" w:eastAsia="仿宋_GB2312"/>
          <w:sz w:val="32"/>
          <w:szCs w:val="32"/>
          <w:highlight w:val="none"/>
          <w:lang w:val="en-US" w:eastAsia="zh-CN"/>
        </w:rPr>
        <w:t>增长</w:t>
      </w:r>
      <w:r>
        <w:rPr>
          <w:rFonts w:hint="eastAsia" w:eastAsia="仿宋_GB2312"/>
          <w:sz w:val="32"/>
          <w:szCs w:val="32"/>
          <w:highlight w:val="none"/>
        </w:rPr>
        <w:t>。</w:t>
      </w:r>
    </w:p>
    <w:p>
      <w:pPr>
        <w:pStyle w:val="10"/>
        <w:spacing w:after="0" w:line="600" w:lineRule="exact"/>
        <w:ind w:firstLine="640" w:firstLineChars="200"/>
        <w:rPr>
          <w:rFonts w:hint="eastAsia" w:eastAsia="仿宋_GB2312"/>
          <w:sz w:val="32"/>
          <w:szCs w:val="32"/>
          <w:highlight w:val="none"/>
        </w:rPr>
      </w:pPr>
      <w:r>
        <w:rPr>
          <w:rFonts w:hint="eastAsia" w:eastAsia="仿宋_GB2312"/>
          <w:sz w:val="32"/>
          <w:szCs w:val="32"/>
          <w:highlight w:val="none"/>
          <w:lang w:val="en-US" w:eastAsia="zh-CN"/>
        </w:rPr>
        <w:t>2</w:t>
      </w:r>
      <w:r>
        <w:rPr>
          <w:rFonts w:hint="eastAsia" w:eastAsia="仿宋_GB2312"/>
          <w:sz w:val="32"/>
          <w:szCs w:val="32"/>
          <w:highlight w:val="none"/>
        </w:rPr>
        <w:t>．行政事业单位医疗（款）事业单位医疗（项）。年初预算</w:t>
      </w:r>
      <w:r>
        <w:rPr>
          <w:rFonts w:hint="eastAsia" w:eastAsia="仿宋_GB2312"/>
          <w:sz w:val="32"/>
          <w:szCs w:val="32"/>
          <w:highlight w:val="none"/>
          <w:lang w:val="en-US" w:eastAsia="zh-CN"/>
        </w:rPr>
        <w:t>15.92</w:t>
      </w:r>
      <w:r>
        <w:rPr>
          <w:rFonts w:hint="eastAsia" w:eastAsia="仿宋_GB2312"/>
          <w:sz w:val="32"/>
          <w:szCs w:val="32"/>
          <w:highlight w:val="none"/>
        </w:rPr>
        <w:t>万元，与上年相比增加</w:t>
      </w:r>
      <w:r>
        <w:rPr>
          <w:rFonts w:hint="eastAsia" w:eastAsia="仿宋_GB2312"/>
          <w:sz w:val="32"/>
          <w:szCs w:val="32"/>
          <w:highlight w:val="none"/>
          <w:lang w:val="en-US" w:eastAsia="zh-CN"/>
        </w:rPr>
        <w:t>2.99</w:t>
      </w:r>
      <w:r>
        <w:rPr>
          <w:rFonts w:hint="eastAsia" w:eastAsia="仿宋_GB2312"/>
          <w:sz w:val="32"/>
          <w:szCs w:val="32"/>
          <w:highlight w:val="none"/>
        </w:rPr>
        <w:t>万元，增长</w:t>
      </w:r>
      <w:r>
        <w:rPr>
          <w:rFonts w:hint="eastAsia" w:eastAsia="仿宋_GB2312"/>
          <w:sz w:val="32"/>
          <w:szCs w:val="32"/>
          <w:highlight w:val="none"/>
          <w:lang w:val="en-US" w:eastAsia="zh-CN"/>
        </w:rPr>
        <w:t>23.12</w:t>
      </w:r>
      <w:r>
        <w:rPr>
          <w:rFonts w:hint="eastAsia" w:eastAsia="仿宋_GB2312"/>
          <w:sz w:val="32"/>
          <w:szCs w:val="32"/>
          <w:highlight w:val="none"/>
          <w:lang w:eastAsia="zh-CN"/>
        </w:rPr>
        <w:t>%</w:t>
      </w:r>
      <w:r>
        <w:rPr>
          <w:rFonts w:hint="eastAsia" w:eastAsia="仿宋_GB2312"/>
          <w:sz w:val="32"/>
          <w:szCs w:val="32"/>
          <w:highlight w:val="none"/>
        </w:rPr>
        <w:t>。变动原因：</w:t>
      </w:r>
      <w:r>
        <w:rPr>
          <w:rFonts w:hint="eastAsia" w:eastAsia="仿宋_GB2312"/>
          <w:sz w:val="32"/>
          <w:szCs w:val="32"/>
          <w:highlight w:val="none"/>
          <w:lang w:val="en-US" w:eastAsia="zh-CN"/>
        </w:rPr>
        <w:t>本年人员工资增加，核定</w:t>
      </w:r>
      <w:r>
        <w:rPr>
          <w:rFonts w:hint="eastAsia" w:eastAsia="仿宋_GB2312"/>
          <w:sz w:val="32"/>
          <w:szCs w:val="32"/>
          <w:highlight w:val="none"/>
        </w:rPr>
        <w:t>事业单位医疗</w:t>
      </w:r>
      <w:r>
        <w:rPr>
          <w:rFonts w:hint="eastAsia" w:eastAsia="仿宋_GB2312"/>
          <w:sz w:val="32"/>
          <w:szCs w:val="32"/>
          <w:highlight w:val="none"/>
          <w:lang w:val="en-US" w:eastAsia="zh-CN"/>
        </w:rPr>
        <w:t>缴费基数增加</w:t>
      </w:r>
      <w:r>
        <w:rPr>
          <w:rFonts w:hint="eastAsia" w:eastAsia="仿宋_GB2312"/>
          <w:sz w:val="32"/>
          <w:szCs w:val="32"/>
          <w:highlight w:val="none"/>
        </w:rPr>
        <w:t>。</w:t>
      </w:r>
    </w:p>
    <w:p>
      <w:pPr>
        <w:pStyle w:val="10"/>
        <w:spacing w:after="0" w:line="600" w:lineRule="exact"/>
        <w:ind w:firstLine="640" w:firstLineChars="200"/>
        <w:rPr>
          <w:rFonts w:hint="eastAsia" w:eastAsia="仿宋_GB2312"/>
          <w:sz w:val="32"/>
          <w:szCs w:val="32"/>
          <w:highlight w:val="none"/>
        </w:rPr>
      </w:pPr>
      <w:r>
        <w:rPr>
          <w:rFonts w:hint="eastAsia" w:eastAsia="仿宋_GB2312"/>
          <w:sz w:val="32"/>
          <w:szCs w:val="32"/>
          <w:highlight w:val="none"/>
          <w:lang w:val="en-US" w:eastAsia="zh-CN"/>
        </w:rPr>
        <w:t>3</w:t>
      </w:r>
      <w:r>
        <w:rPr>
          <w:rFonts w:hint="eastAsia" w:eastAsia="仿宋_GB2312"/>
          <w:sz w:val="32"/>
          <w:szCs w:val="32"/>
          <w:highlight w:val="none"/>
        </w:rPr>
        <w:t>．行政事业单位医疗（款）公务员医疗补助（项）。年初预算</w:t>
      </w:r>
      <w:r>
        <w:rPr>
          <w:rFonts w:hint="eastAsia" w:eastAsia="仿宋_GB2312"/>
          <w:sz w:val="32"/>
          <w:szCs w:val="32"/>
          <w:highlight w:val="none"/>
          <w:lang w:val="en-US" w:eastAsia="zh-CN"/>
        </w:rPr>
        <w:t>16.63</w:t>
      </w:r>
      <w:r>
        <w:rPr>
          <w:rFonts w:hint="eastAsia" w:eastAsia="仿宋_GB2312"/>
          <w:sz w:val="32"/>
          <w:szCs w:val="32"/>
          <w:highlight w:val="none"/>
        </w:rPr>
        <w:t>万元，与上年相比增加</w:t>
      </w:r>
      <w:r>
        <w:rPr>
          <w:rFonts w:hint="eastAsia" w:eastAsia="仿宋_GB2312"/>
          <w:sz w:val="32"/>
          <w:szCs w:val="32"/>
          <w:highlight w:val="none"/>
          <w:lang w:val="en-US" w:eastAsia="zh-CN"/>
        </w:rPr>
        <w:t>1.56</w:t>
      </w:r>
      <w:r>
        <w:rPr>
          <w:rFonts w:hint="eastAsia" w:eastAsia="仿宋_GB2312"/>
          <w:sz w:val="32"/>
          <w:szCs w:val="32"/>
          <w:highlight w:val="none"/>
        </w:rPr>
        <w:t>万元，增长</w:t>
      </w:r>
      <w:r>
        <w:rPr>
          <w:rFonts w:hint="eastAsia" w:eastAsia="仿宋_GB2312"/>
          <w:sz w:val="32"/>
          <w:szCs w:val="32"/>
          <w:highlight w:val="none"/>
          <w:lang w:val="en-US" w:eastAsia="zh-CN"/>
        </w:rPr>
        <w:t>10.35</w:t>
      </w:r>
      <w:r>
        <w:rPr>
          <w:rFonts w:hint="eastAsia" w:eastAsia="仿宋_GB2312"/>
          <w:sz w:val="32"/>
          <w:szCs w:val="32"/>
          <w:highlight w:val="none"/>
          <w:lang w:eastAsia="zh-CN"/>
        </w:rPr>
        <w:t>%</w:t>
      </w:r>
      <w:r>
        <w:rPr>
          <w:rFonts w:hint="eastAsia" w:eastAsia="仿宋_GB2312"/>
          <w:sz w:val="32"/>
          <w:szCs w:val="32"/>
          <w:highlight w:val="none"/>
        </w:rPr>
        <w:t>。变动原因：</w:t>
      </w:r>
      <w:r>
        <w:rPr>
          <w:rFonts w:hint="eastAsia" w:eastAsia="仿宋_GB2312"/>
          <w:sz w:val="32"/>
          <w:szCs w:val="32"/>
          <w:highlight w:val="none"/>
          <w:lang w:val="en-US" w:eastAsia="zh-CN"/>
        </w:rPr>
        <w:t>本年人员工资增加，核定</w:t>
      </w:r>
      <w:r>
        <w:rPr>
          <w:rFonts w:hint="eastAsia" w:eastAsia="仿宋_GB2312"/>
          <w:sz w:val="32"/>
          <w:szCs w:val="32"/>
          <w:highlight w:val="none"/>
        </w:rPr>
        <w:t>公务员医疗补助</w:t>
      </w:r>
      <w:r>
        <w:rPr>
          <w:rFonts w:hint="eastAsia" w:eastAsia="仿宋_GB2312"/>
          <w:sz w:val="32"/>
          <w:szCs w:val="32"/>
          <w:highlight w:val="none"/>
          <w:lang w:val="en-US" w:eastAsia="zh-CN"/>
        </w:rPr>
        <w:t>缴费基数增加</w:t>
      </w:r>
      <w:r>
        <w:rPr>
          <w:rFonts w:hint="eastAsia" w:eastAsia="仿宋_GB2312"/>
          <w:sz w:val="32"/>
          <w:szCs w:val="32"/>
          <w:highlight w:val="none"/>
        </w:rPr>
        <w:t>。</w:t>
      </w:r>
    </w:p>
    <w:p>
      <w:pPr>
        <w:pStyle w:val="10"/>
        <w:spacing w:after="0" w:line="600" w:lineRule="exact"/>
        <w:ind w:firstLine="640" w:firstLineChars="200"/>
        <w:rPr>
          <w:rFonts w:hint="eastAsia" w:eastAsia="仿宋_GB2312"/>
          <w:sz w:val="32"/>
          <w:szCs w:val="32"/>
          <w:highlight w:val="none"/>
        </w:rPr>
      </w:pPr>
      <w:r>
        <w:rPr>
          <w:rFonts w:hint="eastAsia" w:eastAsia="仿宋_GB2312"/>
          <w:sz w:val="32"/>
          <w:szCs w:val="32"/>
          <w:highlight w:val="none"/>
          <w:lang w:val="en-US" w:eastAsia="zh-CN"/>
        </w:rPr>
        <w:t>4</w:t>
      </w:r>
      <w:r>
        <w:rPr>
          <w:rFonts w:hint="eastAsia" w:eastAsia="仿宋_GB2312"/>
          <w:sz w:val="32"/>
          <w:szCs w:val="32"/>
          <w:highlight w:val="none"/>
        </w:rPr>
        <w:t>．</w:t>
      </w:r>
      <w:r>
        <w:rPr>
          <w:rFonts w:hint="eastAsia" w:eastAsia="仿宋_GB2312"/>
          <w:sz w:val="32"/>
          <w:szCs w:val="32"/>
          <w:highlight w:val="none"/>
          <w:lang w:eastAsia="zh-CN"/>
        </w:rPr>
        <w:t>中医药事务</w:t>
      </w:r>
      <w:r>
        <w:rPr>
          <w:rFonts w:hint="eastAsia" w:eastAsia="仿宋_GB2312"/>
          <w:sz w:val="32"/>
          <w:szCs w:val="32"/>
          <w:highlight w:val="none"/>
        </w:rPr>
        <w:t>（款）中医(民族医)药专项（项）。年初预算</w:t>
      </w:r>
      <w:r>
        <w:rPr>
          <w:rFonts w:hint="eastAsia" w:eastAsia="仿宋_GB2312"/>
          <w:sz w:val="32"/>
          <w:szCs w:val="32"/>
          <w:highlight w:val="none"/>
          <w:lang w:val="en-US" w:eastAsia="zh-CN"/>
        </w:rPr>
        <w:t>26.00</w:t>
      </w:r>
      <w:r>
        <w:rPr>
          <w:rFonts w:hint="eastAsia" w:eastAsia="仿宋_GB2312"/>
          <w:sz w:val="32"/>
          <w:szCs w:val="32"/>
          <w:highlight w:val="none"/>
        </w:rPr>
        <w:t>万元，与上年相比</w:t>
      </w:r>
      <w:r>
        <w:rPr>
          <w:rFonts w:hint="eastAsia" w:eastAsia="仿宋_GB2312"/>
          <w:sz w:val="32"/>
          <w:szCs w:val="32"/>
          <w:highlight w:val="none"/>
          <w:lang w:val="en-US" w:eastAsia="zh-CN"/>
        </w:rPr>
        <w:t>减少4.00</w:t>
      </w:r>
      <w:r>
        <w:rPr>
          <w:rFonts w:hint="eastAsia" w:eastAsia="仿宋_GB2312"/>
          <w:sz w:val="32"/>
          <w:szCs w:val="32"/>
          <w:highlight w:val="none"/>
        </w:rPr>
        <w:t>万元，</w:t>
      </w:r>
      <w:r>
        <w:rPr>
          <w:rFonts w:hint="eastAsia" w:eastAsia="仿宋_GB2312"/>
          <w:sz w:val="32"/>
          <w:szCs w:val="32"/>
          <w:highlight w:val="none"/>
          <w:lang w:val="en-US" w:eastAsia="zh-CN"/>
        </w:rPr>
        <w:t>减少13.33</w:t>
      </w:r>
      <w:r>
        <w:rPr>
          <w:rFonts w:hint="eastAsia" w:eastAsia="仿宋_GB2312"/>
          <w:sz w:val="32"/>
          <w:szCs w:val="32"/>
          <w:highlight w:val="none"/>
          <w:lang w:eastAsia="zh-CN"/>
        </w:rPr>
        <w:t>%</w:t>
      </w:r>
      <w:r>
        <w:rPr>
          <w:rFonts w:hint="eastAsia" w:eastAsia="仿宋_GB2312"/>
          <w:sz w:val="32"/>
          <w:szCs w:val="32"/>
          <w:highlight w:val="none"/>
        </w:rPr>
        <w:t>。变动原因：</w:t>
      </w:r>
      <w:r>
        <w:rPr>
          <w:rFonts w:hint="eastAsia" w:eastAsia="仿宋_GB2312"/>
          <w:sz w:val="32"/>
          <w:szCs w:val="32"/>
          <w:highlight w:val="none"/>
          <w:lang w:val="en-US" w:eastAsia="zh-CN"/>
        </w:rPr>
        <w:t>项目调整，压减项目经费支出</w:t>
      </w:r>
      <w:r>
        <w:rPr>
          <w:rFonts w:hint="eastAsia" w:eastAsia="仿宋_GB2312"/>
          <w:sz w:val="32"/>
          <w:szCs w:val="32"/>
          <w:highlight w:val="none"/>
        </w:rPr>
        <w:t>。</w:t>
      </w:r>
    </w:p>
    <w:p>
      <w:pPr>
        <w:pStyle w:val="10"/>
        <w:tabs>
          <w:tab w:val="left" w:pos="4275"/>
        </w:tabs>
        <w:spacing w:after="0" w:line="600" w:lineRule="exact"/>
        <w:ind w:firstLine="643" w:firstLineChars="200"/>
        <w:rPr>
          <w:rFonts w:ascii="楷体" w:hAnsi="楷体" w:eastAsia="楷体" w:cs="楷体"/>
          <w:b/>
          <w:bCs/>
          <w:sz w:val="32"/>
          <w:szCs w:val="32"/>
          <w:highlight w:val="none"/>
        </w:rPr>
      </w:pPr>
      <w:r>
        <w:rPr>
          <w:rFonts w:hint="eastAsia" w:ascii="楷体" w:hAnsi="楷体" w:eastAsia="楷体" w:cs="楷体"/>
          <w:b/>
          <w:bCs/>
          <w:sz w:val="32"/>
          <w:szCs w:val="32"/>
          <w:highlight w:val="none"/>
        </w:rPr>
        <w:t>（</w:t>
      </w:r>
      <w:r>
        <w:rPr>
          <w:rFonts w:hint="eastAsia" w:ascii="楷体" w:hAnsi="楷体" w:eastAsia="楷体" w:cs="楷体"/>
          <w:b/>
          <w:bCs/>
          <w:sz w:val="32"/>
          <w:szCs w:val="32"/>
          <w:highlight w:val="none"/>
          <w:lang w:val="en-US" w:eastAsia="zh-CN"/>
        </w:rPr>
        <w:t>三</w:t>
      </w:r>
      <w:r>
        <w:rPr>
          <w:rFonts w:hint="eastAsia" w:ascii="楷体" w:hAnsi="楷体" w:eastAsia="楷体" w:cs="楷体"/>
          <w:b/>
          <w:bCs/>
          <w:sz w:val="32"/>
          <w:szCs w:val="32"/>
          <w:highlight w:val="none"/>
        </w:rPr>
        <w:t>）</w:t>
      </w:r>
      <w:r>
        <w:rPr>
          <w:rFonts w:hint="eastAsia" w:ascii="楷体" w:hAnsi="楷体" w:eastAsia="楷体"/>
          <w:b/>
          <w:sz w:val="32"/>
          <w:szCs w:val="32"/>
        </w:rPr>
        <w:t>住房保障</w:t>
      </w:r>
      <w:r>
        <w:rPr>
          <w:rFonts w:hint="eastAsia" w:ascii="楷体" w:hAnsi="楷体" w:eastAsia="楷体" w:cs="楷体"/>
          <w:b/>
          <w:bCs/>
          <w:sz w:val="32"/>
          <w:szCs w:val="32"/>
          <w:highlight w:val="none"/>
        </w:rPr>
        <w:t>（类）</w:t>
      </w:r>
    </w:p>
    <w:p>
      <w:pPr>
        <w:pStyle w:val="10"/>
        <w:spacing w:after="0" w:line="600" w:lineRule="exact"/>
        <w:ind w:firstLine="640" w:firstLineChars="200"/>
        <w:rPr>
          <w:rFonts w:eastAsia="仿宋_GB2312"/>
          <w:sz w:val="32"/>
          <w:szCs w:val="32"/>
          <w:highlight w:val="none"/>
        </w:rPr>
      </w:pPr>
      <w:r>
        <w:rPr>
          <w:rFonts w:hint="eastAsia" w:eastAsia="仿宋_GB2312"/>
          <w:sz w:val="32"/>
          <w:szCs w:val="32"/>
          <w:highlight w:val="none"/>
          <w:lang w:val="en-US" w:eastAsia="zh-CN"/>
        </w:rPr>
        <w:t>住房保障</w:t>
      </w:r>
      <w:r>
        <w:rPr>
          <w:rFonts w:hint="eastAsia" w:eastAsia="仿宋_GB2312"/>
          <w:sz w:val="32"/>
          <w:szCs w:val="32"/>
          <w:highlight w:val="none"/>
        </w:rPr>
        <w:t>类年初预算数为</w:t>
      </w:r>
      <w:r>
        <w:rPr>
          <w:rFonts w:hint="eastAsia" w:eastAsia="仿宋_GB2312"/>
          <w:sz w:val="32"/>
          <w:szCs w:val="32"/>
          <w:highlight w:val="none"/>
          <w:lang w:val="en-US" w:eastAsia="zh-CN"/>
        </w:rPr>
        <w:t>34.18</w:t>
      </w:r>
      <w:r>
        <w:rPr>
          <w:rFonts w:eastAsia="仿宋_GB2312"/>
          <w:sz w:val="32"/>
          <w:szCs w:val="32"/>
          <w:highlight w:val="none"/>
        </w:rPr>
        <w:t>万元</w:t>
      </w:r>
      <w:r>
        <w:rPr>
          <w:rFonts w:hint="eastAsia" w:eastAsia="仿宋_GB2312"/>
          <w:sz w:val="32"/>
          <w:szCs w:val="32"/>
          <w:highlight w:val="none"/>
        </w:rPr>
        <w:t>，与上年相比</w:t>
      </w:r>
      <w:r>
        <w:rPr>
          <w:rFonts w:eastAsia="仿宋_GB2312"/>
          <w:sz w:val="32"/>
          <w:szCs w:val="32"/>
          <w:highlight w:val="none"/>
        </w:rPr>
        <w:t>增加</w:t>
      </w:r>
      <w:r>
        <w:rPr>
          <w:rFonts w:hint="eastAsia" w:eastAsia="仿宋_GB2312"/>
          <w:sz w:val="32"/>
          <w:szCs w:val="32"/>
          <w:highlight w:val="none"/>
          <w:lang w:val="en-US" w:eastAsia="zh-CN"/>
        </w:rPr>
        <w:t>3.50</w:t>
      </w:r>
      <w:r>
        <w:rPr>
          <w:rFonts w:eastAsia="仿宋_GB2312"/>
          <w:sz w:val="32"/>
          <w:szCs w:val="32"/>
          <w:highlight w:val="none"/>
        </w:rPr>
        <w:t>万元</w:t>
      </w:r>
      <w:r>
        <w:rPr>
          <w:rFonts w:hint="eastAsia" w:eastAsia="仿宋_GB2312"/>
          <w:sz w:val="32"/>
          <w:szCs w:val="32"/>
          <w:highlight w:val="none"/>
        </w:rPr>
        <w:t>。其中：</w:t>
      </w:r>
    </w:p>
    <w:p>
      <w:pPr>
        <w:pStyle w:val="10"/>
        <w:spacing w:after="0" w:line="600" w:lineRule="exact"/>
        <w:ind w:firstLine="640" w:firstLineChars="200"/>
        <w:rPr>
          <w:rFonts w:hint="eastAsia" w:eastAsia="仿宋_GB2312"/>
          <w:sz w:val="32"/>
          <w:szCs w:val="32"/>
          <w:highlight w:val="none"/>
        </w:rPr>
      </w:pPr>
      <w:r>
        <w:rPr>
          <w:rFonts w:eastAsia="仿宋_GB2312"/>
          <w:sz w:val="32"/>
          <w:szCs w:val="32"/>
          <w:highlight w:val="none"/>
        </w:rPr>
        <w:t>1．</w:t>
      </w:r>
      <w:r>
        <w:rPr>
          <w:rFonts w:hint="eastAsia" w:eastAsia="仿宋_GB2312"/>
          <w:sz w:val="32"/>
          <w:szCs w:val="32"/>
          <w:highlight w:val="none"/>
          <w:lang w:val="en-US" w:eastAsia="zh-CN"/>
        </w:rPr>
        <w:t>住房改革支出（款）住房公积金（项）。年初预算34.18万元，与上年相比增加3.50万元，增长11.41%。变动原因：本年人员工资增加，核定住房公积金缴费基数增加。</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六、一般公共预算基本支出预算情况说明</w:t>
      </w:r>
    </w:p>
    <w:p>
      <w:pPr>
        <w:pStyle w:val="10"/>
        <w:tabs>
          <w:tab w:val="left" w:pos="2671"/>
          <w:tab w:val="left" w:pos="5000"/>
          <w:tab w:val="left" w:pos="6190"/>
        </w:tabs>
        <w:spacing w:after="0" w:line="600" w:lineRule="exact"/>
        <w:ind w:firstLine="640"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sz w:val="32"/>
          <w:szCs w:val="32"/>
          <w:highlight w:val="none"/>
          <w:lang w:val="en-US" w:eastAsia="zh-CN"/>
        </w:rPr>
        <w:t>内蒙古自治区医疗管理事务服务中心</w:t>
      </w:r>
      <w:r>
        <w:rPr>
          <w:rFonts w:hint="eastAsia" w:eastAsia="仿宋_GB2312" w:cs="仿宋"/>
          <w:sz w:val="32"/>
          <w:szCs w:val="32"/>
          <w:highlight w:val="none"/>
          <w:lang w:val="en-US" w:eastAsia="zh-CN"/>
        </w:rPr>
        <w:t>2025</w:t>
      </w:r>
      <w:r>
        <w:rPr>
          <w:rFonts w:hint="eastAsia" w:ascii="Times New Roman" w:hAnsi="Times New Roman" w:eastAsia="仿宋_GB2312" w:cs="仿宋"/>
          <w:sz w:val="32"/>
          <w:szCs w:val="32"/>
          <w:highlight w:val="none"/>
        </w:rPr>
        <w:t>年度一般公共预算财政拨款基本支出预算</w:t>
      </w:r>
      <w:r>
        <w:rPr>
          <w:rFonts w:hint="eastAsia" w:eastAsia="仿宋_GB2312" w:cs="仿宋"/>
          <w:sz w:val="32"/>
          <w:szCs w:val="32"/>
          <w:highlight w:val="none"/>
          <w:lang w:val="en-US" w:eastAsia="zh-CN"/>
        </w:rPr>
        <w:t>487.96</w:t>
      </w:r>
      <w:r>
        <w:rPr>
          <w:rFonts w:hint="eastAsia" w:ascii="Times New Roman" w:hAnsi="Times New Roman" w:eastAsia="仿宋_GB2312" w:cs="仿宋"/>
          <w:sz w:val="32"/>
          <w:szCs w:val="32"/>
          <w:highlight w:val="none"/>
        </w:rPr>
        <w:t>万元，其中：</w:t>
      </w:r>
    </w:p>
    <w:p>
      <w:pPr>
        <w:pStyle w:val="10"/>
        <w:tabs>
          <w:tab w:val="left" w:pos="2671"/>
          <w:tab w:val="left" w:pos="5000"/>
          <w:tab w:val="left" w:pos="6190"/>
        </w:tabs>
        <w:spacing w:after="0" w:line="60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（一）人员经费</w:t>
      </w:r>
      <w:r>
        <w:rPr>
          <w:rFonts w:hint="eastAsia" w:eastAsia="仿宋_GB2312" w:cs="仿宋"/>
          <w:b/>
          <w:bCs/>
          <w:sz w:val="32"/>
          <w:szCs w:val="32"/>
          <w:highlight w:val="none"/>
          <w:lang w:val="en-US" w:eastAsia="zh-CN"/>
        </w:rPr>
        <w:t>462.46</w:t>
      </w:r>
      <w:r>
        <w:rPr>
          <w:rFonts w:hint="eastAsia" w:ascii="Times New Roman" w:hAnsi="Times New Roman" w:eastAsia="仿宋_GB2312" w:cs="仿宋"/>
          <w:b/>
          <w:bCs/>
          <w:sz w:val="32"/>
          <w:szCs w:val="32"/>
          <w:highlight w:val="none"/>
        </w:rPr>
        <w:t>万元</w:t>
      </w:r>
      <w:r>
        <w:rPr>
          <w:rFonts w:hint="eastAsia" w:ascii="Times New Roman" w:hAnsi="Times New Roman" w:eastAsia="仿宋_GB2312" w:cs="仿宋"/>
          <w:sz w:val="32"/>
          <w:szCs w:val="32"/>
          <w:highlight w:val="none"/>
        </w:rPr>
        <w:t>。主要包括：基本工资</w:t>
      </w:r>
      <w:r>
        <w:rPr>
          <w:rFonts w:hint="eastAsia" w:eastAsia="仿宋_GB2312" w:cs="仿宋"/>
          <w:sz w:val="32"/>
          <w:szCs w:val="32"/>
          <w:highlight w:val="none"/>
          <w:lang w:val="en-US" w:eastAsia="zh-CN"/>
        </w:rPr>
        <w:t>110.33万元</w:t>
      </w:r>
      <w:r>
        <w:rPr>
          <w:rFonts w:hint="eastAsia" w:ascii="Times New Roman" w:hAnsi="Times New Roman" w:eastAsia="仿宋_GB2312" w:cs="仿宋"/>
          <w:sz w:val="32"/>
          <w:szCs w:val="32"/>
          <w:highlight w:val="none"/>
        </w:rPr>
        <w:t>、津贴补贴</w:t>
      </w:r>
      <w:r>
        <w:rPr>
          <w:rFonts w:hint="eastAsia" w:eastAsia="仿宋_GB2312" w:cs="仿宋"/>
          <w:sz w:val="32"/>
          <w:szCs w:val="32"/>
          <w:highlight w:val="none"/>
          <w:lang w:val="en-US" w:eastAsia="zh-CN"/>
        </w:rPr>
        <w:t>59.26万元</w:t>
      </w:r>
      <w:r>
        <w:rPr>
          <w:rFonts w:hint="eastAsia" w:ascii="Times New Roman" w:hAnsi="Times New Roman" w:eastAsia="仿宋_GB2312" w:cs="仿宋"/>
          <w:sz w:val="32"/>
          <w:szCs w:val="32"/>
          <w:highlight w:val="none"/>
        </w:rPr>
        <w:t>、奖金</w:t>
      </w:r>
      <w:r>
        <w:rPr>
          <w:rFonts w:hint="eastAsia" w:eastAsia="仿宋_GB2312" w:cs="仿宋"/>
          <w:sz w:val="32"/>
          <w:szCs w:val="32"/>
          <w:highlight w:val="none"/>
          <w:lang w:val="en-US" w:eastAsia="zh-CN"/>
        </w:rPr>
        <w:t>29.88万元</w:t>
      </w:r>
      <w:r>
        <w:rPr>
          <w:rFonts w:hint="eastAsia" w:ascii="Times New Roman" w:hAnsi="Times New Roman" w:eastAsia="仿宋_GB2312" w:cs="仿宋"/>
          <w:sz w:val="32"/>
          <w:szCs w:val="32"/>
          <w:highlight w:val="none"/>
        </w:rPr>
        <w:t>、绩效工资</w:t>
      </w:r>
      <w:r>
        <w:rPr>
          <w:rFonts w:hint="eastAsia" w:eastAsia="仿宋_GB2312" w:cs="仿宋"/>
          <w:sz w:val="32"/>
          <w:szCs w:val="32"/>
          <w:highlight w:val="none"/>
          <w:lang w:val="en-US" w:eastAsia="zh-CN"/>
        </w:rPr>
        <w:t>88.82万元</w:t>
      </w:r>
      <w:r>
        <w:rPr>
          <w:rFonts w:hint="eastAsia" w:ascii="Times New Roman" w:hAnsi="Times New Roman" w:eastAsia="仿宋_GB2312" w:cs="仿宋"/>
          <w:sz w:val="32"/>
          <w:szCs w:val="32"/>
          <w:highlight w:val="none"/>
        </w:rPr>
        <w:t>、</w:t>
      </w:r>
      <w:r>
        <w:rPr>
          <w:rFonts w:hint="eastAsia" w:eastAsia="仿宋_GB2312" w:cs="仿宋"/>
          <w:sz w:val="32"/>
          <w:szCs w:val="32"/>
          <w:highlight w:val="none"/>
          <w:lang w:val="en-US" w:eastAsia="zh-CN"/>
        </w:rPr>
        <w:t>机关事业单位基本养老保险缴费35.72万元、职业年金缴费17.86万元、职工基本医疗保险缴费15.92万元、公务员医疗补助缴费16.63万元、其他社会保障缴费1.48万元、</w:t>
      </w:r>
      <w:r>
        <w:rPr>
          <w:rFonts w:hint="eastAsia" w:ascii="Times New Roman" w:hAnsi="Times New Roman" w:eastAsia="仿宋_GB2312" w:cs="仿宋"/>
          <w:sz w:val="32"/>
          <w:szCs w:val="32"/>
          <w:highlight w:val="none"/>
        </w:rPr>
        <w:t>住房公积金</w:t>
      </w:r>
      <w:r>
        <w:rPr>
          <w:rFonts w:hint="eastAsia" w:eastAsia="仿宋_GB2312" w:cs="仿宋"/>
          <w:sz w:val="32"/>
          <w:szCs w:val="32"/>
          <w:highlight w:val="none"/>
          <w:lang w:val="en-US" w:eastAsia="zh-CN"/>
        </w:rPr>
        <w:t>34.18万元、退休费52.38万元</w:t>
      </w:r>
      <w:r>
        <w:rPr>
          <w:rFonts w:hint="eastAsia" w:ascii="Times New Roman" w:hAnsi="Times New Roman" w:eastAsia="仿宋_GB2312" w:cs="仿宋"/>
          <w:sz w:val="32"/>
          <w:szCs w:val="32"/>
          <w:highlight w:val="none"/>
        </w:rPr>
        <w:t>。</w:t>
      </w:r>
    </w:p>
    <w:p>
      <w:pPr>
        <w:pStyle w:val="10"/>
        <w:tabs>
          <w:tab w:val="left" w:pos="2671"/>
          <w:tab w:val="left" w:pos="5000"/>
          <w:tab w:val="left" w:pos="6190"/>
        </w:tabs>
        <w:spacing w:after="0" w:line="600" w:lineRule="exact"/>
        <w:ind w:firstLine="643" w:firstLineChars="200"/>
        <w:rPr>
          <w:rFonts w:hint="eastAsia" w:ascii="Times New Roman" w:hAnsi="Times New Roman" w:eastAsia="仿宋_GB2312" w:cs="仿宋"/>
          <w:sz w:val="32"/>
          <w:szCs w:val="32"/>
          <w:highlight w:val="none"/>
        </w:rPr>
      </w:pPr>
      <w:r>
        <w:rPr>
          <w:rFonts w:hint="eastAsia" w:ascii="Times New Roman" w:hAnsi="Times New Roman" w:eastAsia="仿宋_GB2312" w:cs="仿宋"/>
          <w:b/>
          <w:bCs/>
          <w:sz w:val="32"/>
          <w:szCs w:val="32"/>
          <w:highlight w:val="none"/>
        </w:rPr>
        <w:t>（二）公用经费</w:t>
      </w:r>
      <w:r>
        <w:rPr>
          <w:rFonts w:hint="eastAsia" w:eastAsia="仿宋_GB2312" w:cs="仿宋"/>
          <w:b/>
          <w:bCs/>
          <w:sz w:val="32"/>
          <w:szCs w:val="32"/>
          <w:highlight w:val="none"/>
          <w:lang w:val="en-US" w:eastAsia="zh-CN"/>
        </w:rPr>
        <w:t>25.50</w:t>
      </w:r>
      <w:r>
        <w:rPr>
          <w:rFonts w:hint="eastAsia" w:ascii="Times New Roman" w:hAnsi="Times New Roman" w:eastAsia="仿宋_GB2312" w:cs="仿宋"/>
          <w:b/>
          <w:bCs/>
          <w:sz w:val="32"/>
          <w:szCs w:val="32"/>
          <w:highlight w:val="none"/>
        </w:rPr>
        <w:t>万元</w:t>
      </w:r>
      <w:r>
        <w:rPr>
          <w:rFonts w:hint="eastAsia" w:ascii="Times New Roman" w:hAnsi="Times New Roman" w:eastAsia="仿宋_GB2312" w:cs="仿宋"/>
          <w:sz w:val="32"/>
          <w:szCs w:val="32"/>
          <w:highlight w:val="none"/>
        </w:rPr>
        <w:t>。主要包括：办公费</w:t>
      </w:r>
      <w:r>
        <w:rPr>
          <w:rFonts w:hint="eastAsia" w:eastAsia="仿宋_GB2312" w:cs="仿宋"/>
          <w:sz w:val="32"/>
          <w:szCs w:val="32"/>
          <w:highlight w:val="none"/>
          <w:lang w:val="en-US" w:eastAsia="zh-CN"/>
        </w:rPr>
        <w:t>25.50万元</w:t>
      </w:r>
      <w:r>
        <w:rPr>
          <w:rFonts w:hint="eastAsia" w:ascii="Times New Roman" w:hAnsi="Times New Roman" w:eastAsia="仿宋_GB2312" w:cs="仿宋"/>
          <w:sz w:val="32"/>
          <w:szCs w:val="32"/>
          <w:highlight w:val="none"/>
        </w:rPr>
        <w:t>、印刷费</w:t>
      </w:r>
      <w:r>
        <w:rPr>
          <w:rFonts w:hint="eastAsia" w:eastAsia="仿宋_GB2312" w:cs="仿宋"/>
          <w:sz w:val="32"/>
          <w:szCs w:val="32"/>
          <w:highlight w:val="none"/>
          <w:lang w:val="en-US" w:eastAsia="zh-CN"/>
        </w:rPr>
        <w:t>2.10万元</w:t>
      </w:r>
      <w:r>
        <w:rPr>
          <w:rFonts w:hint="eastAsia" w:ascii="Times New Roman" w:hAnsi="Times New Roman" w:eastAsia="仿宋_GB2312" w:cs="仿宋"/>
          <w:sz w:val="32"/>
          <w:szCs w:val="32"/>
          <w:highlight w:val="none"/>
        </w:rPr>
        <w:t>、邮电费</w:t>
      </w:r>
      <w:r>
        <w:rPr>
          <w:rFonts w:hint="eastAsia" w:eastAsia="仿宋_GB2312" w:cs="仿宋"/>
          <w:sz w:val="32"/>
          <w:szCs w:val="32"/>
          <w:highlight w:val="none"/>
          <w:lang w:val="en-US" w:eastAsia="zh-CN"/>
        </w:rPr>
        <w:t>1.00万元</w:t>
      </w:r>
      <w:r>
        <w:rPr>
          <w:rFonts w:hint="eastAsia" w:ascii="Times New Roman" w:hAnsi="Times New Roman" w:eastAsia="仿宋_GB2312" w:cs="仿宋"/>
          <w:sz w:val="32"/>
          <w:szCs w:val="32"/>
          <w:highlight w:val="none"/>
        </w:rPr>
        <w:t>、工会经费</w:t>
      </w:r>
      <w:r>
        <w:rPr>
          <w:rFonts w:hint="eastAsia" w:eastAsia="仿宋_GB2312" w:cs="仿宋"/>
          <w:sz w:val="32"/>
          <w:szCs w:val="32"/>
          <w:highlight w:val="none"/>
          <w:lang w:val="en-US" w:eastAsia="zh-CN"/>
        </w:rPr>
        <w:t>5.70万元</w:t>
      </w:r>
      <w:r>
        <w:rPr>
          <w:rFonts w:hint="eastAsia" w:ascii="Times New Roman" w:hAnsi="Times New Roman" w:eastAsia="仿宋_GB2312" w:cs="仿宋"/>
          <w:sz w:val="32"/>
          <w:szCs w:val="32"/>
          <w:highlight w:val="none"/>
        </w:rPr>
        <w:t>、福利费</w:t>
      </w:r>
      <w:r>
        <w:rPr>
          <w:rFonts w:hint="eastAsia" w:eastAsia="仿宋_GB2312" w:cs="仿宋"/>
          <w:sz w:val="32"/>
          <w:szCs w:val="32"/>
          <w:highlight w:val="none"/>
          <w:lang w:val="en-US" w:eastAsia="zh-CN"/>
        </w:rPr>
        <w:t>8.20万元</w:t>
      </w:r>
      <w:r>
        <w:rPr>
          <w:rFonts w:hint="eastAsia" w:ascii="Times New Roman" w:hAnsi="Times New Roman" w:eastAsia="仿宋_GB2312" w:cs="仿宋"/>
          <w:sz w:val="32"/>
          <w:szCs w:val="32"/>
          <w:highlight w:val="none"/>
        </w:rPr>
        <w:t>、公务用车运行维护费</w:t>
      </w:r>
      <w:r>
        <w:rPr>
          <w:rFonts w:hint="eastAsia" w:eastAsia="仿宋_GB2312" w:cs="仿宋"/>
          <w:sz w:val="32"/>
          <w:szCs w:val="32"/>
          <w:highlight w:val="none"/>
          <w:lang w:val="en-US" w:eastAsia="zh-CN"/>
        </w:rPr>
        <w:t>3.50万元</w:t>
      </w:r>
      <w:r>
        <w:rPr>
          <w:rFonts w:hint="eastAsia" w:ascii="Times New Roman" w:hAnsi="Times New Roman" w:eastAsia="仿宋_GB2312" w:cs="仿宋"/>
          <w:sz w:val="32"/>
          <w:szCs w:val="32"/>
          <w:highlight w:val="none"/>
        </w:rPr>
        <w:t>、其他商品和服务支出</w:t>
      </w:r>
      <w:r>
        <w:rPr>
          <w:rFonts w:hint="eastAsia" w:eastAsia="仿宋_GB2312" w:cs="仿宋"/>
          <w:sz w:val="32"/>
          <w:szCs w:val="32"/>
          <w:highlight w:val="none"/>
          <w:lang w:val="en-US" w:eastAsia="zh-CN"/>
        </w:rPr>
        <w:t>4.00万元</w:t>
      </w:r>
      <w:r>
        <w:rPr>
          <w:rFonts w:hint="eastAsia" w:ascii="Times New Roman" w:hAnsi="Times New Roman" w:eastAsia="仿宋_GB2312" w:cs="仿宋"/>
          <w:sz w:val="32"/>
          <w:szCs w:val="32"/>
          <w:highlight w:val="none"/>
        </w:rPr>
        <w:t>。</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七、一般公共预算“三公”经费支出预算情况说明</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hint="eastAsia" w:ascii="仿宋_GB2312" w:hAnsi="仿宋_GB2312" w:eastAsia="仿宋_GB2312" w:cs="仿宋"/>
          <w:sz w:val="32"/>
          <w:szCs w:val="32"/>
          <w:highlight w:val="none"/>
          <w:lang w:val="en-US" w:eastAsia="zh-CN"/>
        </w:rPr>
        <w:t>内蒙古自治区医疗管理事务服务中心2025</w:t>
      </w:r>
      <w:r>
        <w:rPr>
          <w:rFonts w:eastAsia="仿宋_GB2312"/>
          <w:sz w:val="32"/>
          <w:szCs w:val="32"/>
          <w:highlight w:val="none"/>
        </w:rPr>
        <w:t>年度一般公共预算拨款安排的“三公”经费预算支出</w:t>
      </w:r>
      <w:r>
        <w:rPr>
          <w:rFonts w:hint="eastAsia" w:eastAsia="仿宋_GB2312"/>
          <w:sz w:val="32"/>
          <w:szCs w:val="32"/>
          <w:highlight w:val="none"/>
          <w:lang w:val="en-US" w:eastAsia="zh-CN"/>
        </w:rPr>
        <w:t>3.50</w:t>
      </w:r>
      <w:r>
        <w:rPr>
          <w:rFonts w:eastAsia="仿宋_GB2312"/>
          <w:sz w:val="32"/>
          <w:szCs w:val="32"/>
          <w:highlight w:val="none"/>
        </w:rPr>
        <w:t>万元，其中因公出国（境）费支出</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；公务用车购置及运行维护费支出</w:t>
      </w:r>
      <w:r>
        <w:rPr>
          <w:rFonts w:hint="eastAsia" w:eastAsia="仿宋_GB2312"/>
          <w:sz w:val="32"/>
          <w:szCs w:val="32"/>
          <w:highlight w:val="none"/>
          <w:lang w:val="en-US" w:eastAsia="zh-CN"/>
        </w:rPr>
        <w:t>3.50</w:t>
      </w:r>
      <w:r>
        <w:rPr>
          <w:rFonts w:eastAsia="仿宋_GB2312"/>
          <w:sz w:val="32"/>
          <w:szCs w:val="32"/>
          <w:highlight w:val="none"/>
        </w:rPr>
        <w:t>万元，占</w:t>
      </w:r>
      <w:r>
        <w:rPr>
          <w:rFonts w:hint="eastAsia" w:eastAsia="仿宋_GB2312"/>
          <w:sz w:val="32"/>
          <w:szCs w:val="32"/>
          <w:highlight w:val="none"/>
          <w:lang w:val="en-US" w:eastAsia="zh-CN"/>
        </w:rPr>
        <w:t>100.00</w:t>
      </w:r>
      <w:r>
        <w:rPr>
          <w:rFonts w:hint="eastAsia" w:ascii="仿宋_GB2312" w:hAnsi="仿宋_GB2312" w:eastAsia="仿宋_GB2312"/>
          <w:sz w:val="32"/>
          <w:szCs w:val="32"/>
          <w:highlight w:val="none"/>
          <w:lang w:eastAsia="zh-CN"/>
        </w:rPr>
        <w:t>%</w:t>
      </w:r>
      <w:r>
        <w:rPr>
          <w:rFonts w:eastAsia="仿宋_GB2312"/>
          <w:sz w:val="32"/>
          <w:szCs w:val="32"/>
          <w:highlight w:val="none"/>
        </w:rPr>
        <w:t>；公务接待费支出</w:t>
      </w:r>
      <w:r>
        <w:rPr>
          <w:rFonts w:hint="eastAsia" w:eastAsia="仿宋_GB2312"/>
          <w:sz w:val="32"/>
          <w:szCs w:val="32"/>
          <w:highlight w:val="none"/>
          <w:lang w:val="en-US" w:eastAsia="zh-CN"/>
        </w:rPr>
        <w:t>0.00</w:t>
      </w:r>
      <w:r>
        <w:rPr>
          <w:rFonts w:eastAsia="仿宋_GB2312"/>
          <w:sz w:val="32"/>
          <w:szCs w:val="32"/>
          <w:highlight w:val="none"/>
        </w:rPr>
        <w:t>万元，占</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。具体情况如下：</w:t>
      </w:r>
    </w:p>
    <w:p>
      <w:pPr>
        <w:spacing w:line="600" w:lineRule="exact"/>
        <w:ind w:left="29" w:right="96" w:firstLine="650"/>
        <w:rPr>
          <w:rFonts w:eastAsia="仿宋_GB2312"/>
          <w:sz w:val="32"/>
          <w:szCs w:val="32"/>
          <w:highlight w:val="none"/>
        </w:rPr>
      </w:pPr>
      <w:r>
        <w:rPr>
          <w:rFonts w:eastAsia="仿宋_GB2312"/>
          <w:sz w:val="32"/>
          <w:szCs w:val="32"/>
          <w:highlight w:val="none"/>
        </w:rPr>
        <w:t>一般公共预算拨款安排的“三公”经费预算支出</w:t>
      </w:r>
      <w:r>
        <w:rPr>
          <w:rFonts w:hint="eastAsia" w:eastAsia="仿宋_GB2312"/>
          <w:sz w:val="32"/>
          <w:szCs w:val="32"/>
          <w:highlight w:val="none"/>
          <w:lang w:val="en-US" w:eastAsia="zh-CN"/>
        </w:rPr>
        <w:t>3.50</w:t>
      </w:r>
      <w:r>
        <w:rPr>
          <w:rFonts w:eastAsia="仿宋_GB2312"/>
          <w:spacing w:val="-4"/>
          <w:sz w:val="32"/>
          <w:szCs w:val="32"/>
          <w:highlight w:val="none"/>
        </w:rPr>
        <w:t>万元，比上年预</w:t>
      </w:r>
      <w:r>
        <w:rPr>
          <w:rFonts w:eastAsia="仿宋_GB2312"/>
          <w:spacing w:val="-6"/>
          <w:sz w:val="32"/>
          <w:szCs w:val="32"/>
          <w:highlight w:val="none"/>
        </w:rPr>
        <w:t>算增加</w:t>
      </w:r>
      <w:r>
        <w:rPr>
          <w:rFonts w:hint="eastAsia" w:eastAsia="仿宋_GB2312"/>
          <w:spacing w:val="-6"/>
          <w:sz w:val="32"/>
          <w:szCs w:val="32"/>
          <w:highlight w:val="none"/>
          <w:lang w:val="en-US" w:eastAsia="zh-CN"/>
        </w:rPr>
        <w:t>0.00</w:t>
      </w:r>
      <w:r>
        <w:rPr>
          <w:rFonts w:eastAsia="仿宋_GB2312"/>
          <w:spacing w:val="-6"/>
          <w:sz w:val="32"/>
          <w:szCs w:val="32"/>
          <w:highlight w:val="none"/>
        </w:rPr>
        <w:t>万元，</w:t>
      </w:r>
      <w:r>
        <w:rPr>
          <w:rFonts w:eastAsia="仿宋_GB2312"/>
          <w:sz w:val="32"/>
          <w:szCs w:val="32"/>
          <w:highlight w:val="none"/>
        </w:rPr>
        <w:t>增长</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hint="eastAsia" w:ascii="仿宋_GB2312" w:hAnsi="仿宋_GB2312" w:eastAsia="仿宋_GB2312"/>
          <w:sz w:val="32"/>
          <w:szCs w:val="32"/>
          <w:highlight w:val="none"/>
          <w:lang w:val="en-US" w:eastAsia="zh-CN"/>
        </w:rPr>
        <w:t>与上年预算数相同</w:t>
      </w:r>
      <w:r>
        <w:rPr>
          <w:rFonts w:eastAsia="仿宋_GB2312"/>
          <w:spacing w:val="-6"/>
          <w:sz w:val="32"/>
          <w:szCs w:val="32"/>
          <w:highlight w:val="none"/>
        </w:rPr>
        <w:t>；</w:t>
      </w:r>
      <w:r>
        <w:rPr>
          <w:rFonts w:eastAsia="仿宋_GB2312"/>
          <w:spacing w:val="-4"/>
          <w:sz w:val="32"/>
          <w:szCs w:val="32"/>
          <w:highlight w:val="none"/>
        </w:rPr>
        <w:t>其中：</w:t>
      </w:r>
    </w:p>
    <w:p>
      <w:pPr>
        <w:pStyle w:val="10"/>
        <w:spacing w:after="0" w:line="600" w:lineRule="exact"/>
        <w:ind w:left="17" w:leftChars="8" w:firstLine="640" w:firstLineChars="200"/>
        <w:rPr>
          <w:rFonts w:eastAsia="仿宋_GB2312"/>
          <w:sz w:val="32"/>
          <w:szCs w:val="32"/>
          <w:highlight w:val="none"/>
        </w:rPr>
      </w:pPr>
      <w:r>
        <w:rPr>
          <w:rFonts w:eastAsia="仿宋_GB2312"/>
          <w:sz w:val="32"/>
          <w:szCs w:val="32"/>
          <w:highlight w:val="none"/>
        </w:rPr>
        <w:t>1．因公出国（境）费预算支出</w:t>
      </w:r>
      <w:r>
        <w:rPr>
          <w:rFonts w:hint="eastAsia" w:eastAsia="仿宋_GB2312"/>
          <w:sz w:val="32"/>
          <w:szCs w:val="32"/>
          <w:highlight w:val="none"/>
          <w:lang w:val="en-US" w:eastAsia="zh-CN"/>
        </w:rPr>
        <w:t>0.00</w:t>
      </w:r>
      <w:r>
        <w:rPr>
          <w:rFonts w:eastAsia="仿宋_GB2312"/>
          <w:sz w:val="32"/>
          <w:szCs w:val="32"/>
          <w:highlight w:val="none"/>
        </w:rPr>
        <w:t>万元，比上年预算增加</w:t>
      </w:r>
      <w:r>
        <w:rPr>
          <w:rFonts w:hint="eastAsia" w:eastAsia="仿宋_GB2312"/>
          <w:sz w:val="32"/>
          <w:szCs w:val="32"/>
          <w:highlight w:val="none"/>
          <w:lang w:val="en-US" w:eastAsia="zh-CN"/>
        </w:rPr>
        <w:t>0.00</w:t>
      </w:r>
      <w:r>
        <w:rPr>
          <w:rFonts w:eastAsia="仿宋_GB2312"/>
          <w:sz w:val="32"/>
          <w:szCs w:val="32"/>
          <w:highlight w:val="none"/>
        </w:rPr>
        <w:t>万元，主要原因</w:t>
      </w:r>
      <w:r>
        <w:rPr>
          <w:rFonts w:hint="eastAsia" w:eastAsia="仿宋_GB2312"/>
          <w:sz w:val="32"/>
          <w:szCs w:val="32"/>
          <w:highlight w:val="none"/>
          <w:lang w:val="en-US" w:eastAsia="zh-CN"/>
        </w:rPr>
        <w:t>本单位无此项支出内容</w:t>
      </w:r>
      <w:r>
        <w:rPr>
          <w:rFonts w:eastAsia="仿宋_GB2312"/>
          <w:sz w:val="32"/>
          <w:szCs w:val="32"/>
          <w:highlight w:val="none"/>
        </w:rPr>
        <w:t>。</w:t>
      </w:r>
    </w:p>
    <w:p>
      <w:pPr>
        <w:pStyle w:val="10"/>
        <w:tabs>
          <w:tab w:val="left" w:pos="2671"/>
          <w:tab w:val="left" w:pos="5000"/>
          <w:tab w:val="left" w:pos="6190"/>
        </w:tabs>
        <w:spacing w:after="0" w:line="600" w:lineRule="exact"/>
        <w:ind w:firstLine="640" w:firstLineChars="200"/>
        <w:rPr>
          <w:rFonts w:eastAsia="仿宋_GB2312"/>
          <w:sz w:val="32"/>
          <w:szCs w:val="32"/>
          <w:highlight w:val="none"/>
        </w:rPr>
      </w:pPr>
      <w:r>
        <w:rPr>
          <w:rFonts w:eastAsia="仿宋_GB2312"/>
          <w:sz w:val="32"/>
          <w:szCs w:val="32"/>
          <w:highlight w:val="none"/>
        </w:rPr>
        <w:t>2．公务用车购置及运行维护费预算支出</w:t>
      </w:r>
      <w:r>
        <w:rPr>
          <w:rFonts w:hint="eastAsia" w:eastAsia="仿宋_GB2312"/>
          <w:sz w:val="32"/>
          <w:szCs w:val="32"/>
          <w:highlight w:val="none"/>
          <w:lang w:val="en-US" w:eastAsia="zh-CN"/>
        </w:rPr>
        <w:t>3.50</w:t>
      </w:r>
      <w:r>
        <w:rPr>
          <w:rFonts w:eastAsia="仿宋_GB2312"/>
          <w:sz w:val="32"/>
          <w:szCs w:val="32"/>
          <w:highlight w:val="none"/>
        </w:rPr>
        <w:t>万元。其中：</w:t>
      </w:r>
    </w:p>
    <w:p>
      <w:pPr>
        <w:pStyle w:val="10"/>
        <w:spacing w:after="0" w:line="600" w:lineRule="exact"/>
        <w:ind w:firstLine="640" w:firstLineChars="200"/>
        <w:rPr>
          <w:rFonts w:eastAsia="仿宋_GB2312"/>
          <w:sz w:val="32"/>
          <w:szCs w:val="32"/>
          <w:highlight w:val="none"/>
        </w:rPr>
      </w:pPr>
      <w:r>
        <w:rPr>
          <w:rFonts w:eastAsia="仿宋_GB2312"/>
          <w:sz w:val="32"/>
          <w:szCs w:val="32"/>
          <w:highlight w:val="none"/>
        </w:rPr>
        <w:t>（1）公务用车购置预算支出</w:t>
      </w:r>
      <w:r>
        <w:rPr>
          <w:rFonts w:hint="eastAsia" w:eastAsia="仿宋_GB2312"/>
          <w:sz w:val="32"/>
          <w:szCs w:val="32"/>
          <w:highlight w:val="none"/>
          <w:lang w:val="en-US" w:eastAsia="zh-CN"/>
        </w:rPr>
        <w:t>0.00</w:t>
      </w:r>
      <w:r>
        <w:rPr>
          <w:rFonts w:eastAsia="仿宋_GB2312"/>
          <w:sz w:val="32"/>
          <w:szCs w:val="32"/>
          <w:highlight w:val="none"/>
        </w:rPr>
        <w:t>万元，比上年预算增加</w:t>
      </w:r>
      <w:r>
        <w:rPr>
          <w:rFonts w:hint="eastAsia" w:eastAsia="仿宋_GB2312"/>
          <w:sz w:val="32"/>
          <w:szCs w:val="32"/>
          <w:highlight w:val="none"/>
          <w:lang w:val="en-US" w:eastAsia="zh-CN"/>
        </w:rPr>
        <w:t>0.00</w:t>
      </w:r>
      <w:r>
        <w:rPr>
          <w:rFonts w:eastAsia="仿宋_GB2312"/>
          <w:sz w:val="32"/>
          <w:szCs w:val="32"/>
          <w:highlight w:val="none"/>
        </w:rPr>
        <w:t>万元，主要原因</w:t>
      </w:r>
      <w:r>
        <w:rPr>
          <w:rFonts w:hint="eastAsia" w:eastAsia="仿宋_GB2312"/>
          <w:sz w:val="32"/>
          <w:szCs w:val="32"/>
          <w:highlight w:val="none"/>
          <w:lang w:val="en-US" w:eastAsia="zh-CN"/>
        </w:rPr>
        <w:t>本单位无此项支出内容</w:t>
      </w:r>
      <w:r>
        <w:rPr>
          <w:rFonts w:eastAsia="仿宋_GB2312"/>
          <w:sz w:val="32"/>
          <w:szCs w:val="32"/>
          <w:highlight w:val="none"/>
        </w:rPr>
        <w:t>。</w:t>
      </w:r>
    </w:p>
    <w:p>
      <w:pPr>
        <w:pStyle w:val="10"/>
        <w:spacing w:after="0" w:line="600" w:lineRule="exact"/>
        <w:ind w:firstLine="640" w:firstLineChars="200"/>
        <w:rPr>
          <w:rFonts w:eastAsia="仿宋_GB2312"/>
          <w:sz w:val="32"/>
          <w:szCs w:val="32"/>
          <w:highlight w:val="none"/>
        </w:rPr>
      </w:pPr>
      <w:r>
        <w:rPr>
          <w:rFonts w:eastAsia="仿宋_GB2312"/>
          <w:sz w:val="32"/>
          <w:szCs w:val="32"/>
          <w:highlight w:val="none"/>
        </w:rPr>
        <w:t>（2）公务用车运行维护费预算支出</w:t>
      </w:r>
      <w:r>
        <w:rPr>
          <w:rFonts w:hint="eastAsia" w:eastAsia="仿宋_GB2312"/>
          <w:sz w:val="32"/>
          <w:szCs w:val="32"/>
          <w:highlight w:val="none"/>
          <w:lang w:val="en-US" w:eastAsia="zh-CN"/>
        </w:rPr>
        <w:t>3.50</w:t>
      </w:r>
      <w:r>
        <w:rPr>
          <w:rFonts w:eastAsia="仿宋_GB2312"/>
          <w:sz w:val="32"/>
          <w:szCs w:val="32"/>
          <w:highlight w:val="none"/>
        </w:rPr>
        <w:t>万元，比上年预算增加</w:t>
      </w:r>
      <w:r>
        <w:rPr>
          <w:rFonts w:hint="eastAsia" w:eastAsia="仿宋_GB2312"/>
          <w:sz w:val="32"/>
          <w:szCs w:val="32"/>
          <w:highlight w:val="none"/>
          <w:lang w:val="en-US" w:eastAsia="zh-CN"/>
        </w:rPr>
        <w:t>0.00</w:t>
      </w:r>
      <w:r>
        <w:rPr>
          <w:rFonts w:eastAsia="仿宋_GB2312"/>
          <w:sz w:val="32"/>
          <w:szCs w:val="32"/>
          <w:highlight w:val="none"/>
        </w:rPr>
        <w:t>万元，</w:t>
      </w:r>
      <w:r>
        <w:rPr>
          <w:rFonts w:hint="eastAsia" w:eastAsia="仿宋_GB2312"/>
          <w:sz w:val="32"/>
          <w:szCs w:val="32"/>
          <w:highlight w:val="none"/>
          <w:lang w:val="en-US" w:eastAsia="zh-CN"/>
        </w:rPr>
        <w:t>与上年预算支出数相同</w:t>
      </w:r>
      <w:r>
        <w:rPr>
          <w:rFonts w:eastAsia="仿宋_GB2312"/>
          <w:sz w:val="32"/>
          <w:szCs w:val="32"/>
          <w:highlight w:val="none"/>
        </w:rPr>
        <w:t>。</w:t>
      </w:r>
    </w:p>
    <w:p>
      <w:pPr>
        <w:pStyle w:val="10"/>
        <w:spacing w:after="0" w:line="600" w:lineRule="exact"/>
        <w:ind w:firstLine="640" w:firstLineChars="200"/>
        <w:rPr>
          <w:rFonts w:eastAsia="仿宋_GB2312"/>
          <w:sz w:val="32"/>
          <w:szCs w:val="32"/>
          <w:highlight w:val="none"/>
        </w:rPr>
      </w:pPr>
      <w:r>
        <w:rPr>
          <w:rFonts w:eastAsia="仿宋_GB2312"/>
          <w:sz w:val="32"/>
          <w:szCs w:val="32"/>
          <w:highlight w:val="none"/>
        </w:rPr>
        <w:t>3．公务接待费预算支出</w:t>
      </w:r>
      <w:r>
        <w:rPr>
          <w:rFonts w:hint="eastAsia" w:eastAsia="仿宋_GB2312"/>
          <w:sz w:val="32"/>
          <w:szCs w:val="32"/>
          <w:highlight w:val="none"/>
          <w:lang w:val="en-US" w:eastAsia="zh-CN"/>
        </w:rPr>
        <w:t>0.00</w:t>
      </w:r>
      <w:r>
        <w:rPr>
          <w:rFonts w:eastAsia="仿宋_GB2312"/>
          <w:sz w:val="32"/>
          <w:szCs w:val="32"/>
          <w:highlight w:val="none"/>
        </w:rPr>
        <w:t>万元，比上年预算增加</w:t>
      </w:r>
      <w:r>
        <w:rPr>
          <w:rFonts w:hint="eastAsia" w:eastAsia="仿宋_GB2312"/>
          <w:sz w:val="32"/>
          <w:szCs w:val="32"/>
          <w:highlight w:val="none"/>
          <w:lang w:val="en-US" w:eastAsia="zh-CN"/>
        </w:rPr>
        <w:t>0.00</w:t>
      </w:r>
      <w:r>
        <w:rPr>
          <w:rFonts w:eastAsia="仿宋_GB2312"/>
          <w:sz w:val="32"/>
          <w:szCs w:val="32"/>
          <w:highlight w:val="none"/>
        </w:rPr>
        <w:t>万元，主要原因</w:t>
      </w:r>
      <w:r>
        <w:rPr>
          <w:rFonts w:hint="eastAsia" w:eastAsia="仿宋_GB2312"/>
          <w:sz w:val="32"/>
          <w:szCs w:val="32"/>
          <w:highlight w:val="none"/>
          <w:lang w:val="en-US" w:eastAsia="zh-CN"/>
        </w:rPr>
        <w:t>本单位无此项支出内容</w:t>
      </w:r>
      <w:r>
        <w:rPr>
          <w:rFonts w:eastAsia="仿宋_GB2312"/>
          <w:sz w:val="32"/>
          <w:szCs w:val="32"/>
          <w:highlight w:val="none"/>
        </w:rPr>
        <w:t>。</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八、政府性基金预算支出预算情况说明</w:t>
      </w:r>
    </w:p>
    <w:p>
      <w:pPr>
        <w:pStyle w:val="10"/>
        <w:spacing w:after="0" w:line="600" w:lineRule="exact"/>
        <w:ind w:left="17" w:leftChars="8" w:firstLine="640" w:firstLineChars="200"/>
        <w:rPr>
          <w:rFonts w:eastAsia="仿宋_GB2312"/>
          <w:sz w:val="32"/>
          <w:szCs w:val="32"/>
          <w:highlight w:val="none"/>
        </w:rPr>
      </w:pPr>
      <w:r>
        <w:rPr>
          <w:rFonts w:hint="eastAsia" w:ascii="仿宋_GB2312" w:hAnsi="仿宋_GB2312" w:eastAsia="仿宋_GB2312" w:cs="仿宋"/>
          <w:sz w:val="32"/>
          <w:szCs w:val="32"/>
          <w:highlight w:val="none"/>
          <w:lang w:val="en-US" w:eastAsia="zh-CN"/>
        </w:rPr>
        <w:t>内蒙古自治区医疗管理事务服务中心2025</w:t>
      </w:r>
      <w:r>
        <w:rPr>
          <w:rFonts w:eastAsia="仿宋_GB2312"/>
          <w:sz w:val="32"/>
          <w:szCs w:val="32"/>
          <w:highlight w:val="none"/>
        </w:rPr>
        <w:t>年度政府性基金支出预算支出</w:t>
      </w:r>
      <w:r>
        <w:rPr>
          <w:rFonts w:hint="eastAsia" w:eastAsia="仿宋_GB2312"/>
          <w:sz w:val="32"/>
          <w:szCs w:val="32"/>
          <w:highlight w:val="none"/>
          <w:lang w:val="en-US" w:eastAsia="zh-CN"/>
        </w:rPr>
        <w:t>0.00</w:t>
      </w:r>
      <w:r>
        <w:rPr>
          <w:rFonts w:eastAsia="仿宋_GB2312"/>
          <w:sz w:val="32"/>
          <w:szCs w:val="32"/>
          <w:highlight w:val="none"/>
        </w:rPr>
        <w:t>万元。与上年相比增加</w:t>
      </w:r>
      <w:r>
        <w:rPr>
          <w:rFonts w:hint="eastAsia" w:eastAsia="仿宋_GB2312"/>
          <w:sz w:val="32"/>
          <w:szCs w:val="32"/>
          <w:highlight w:val="none"/>
          <w:lang w:val="en-US" w:eastAsia="zh-CN"/>
        </w:rPr>
        <w:t>0.00</w:t>
      </w:r>
      <w:r>
        <w:rPr>
          <w:rFonts w:eastAsia="仿宋_GB2312"/>
          <w:sz w:val="32"/>
          <w:szCs w:val="32"/>
          <w:highlight w:val="none"/>
        </w:rPr>
        <w:t>万元，增长</w:t>
      </w:r>
      <w:r>
        <w:rPr>
          <w:rFonts w:hint="eastAsia" w:eastAsia="仿宋_GB2312"/>
          <w:sz w:val="32"/>
          <w:szCs w:val="32"/>
          <w:highlight w:val="none"/>
          <w:lang w:val="en-US" w:eastAsia="zh-CN"/>
        </w:rPr>
        <w:t>0.00</w:t>
      </w:r>
      <w:r>
        <w:rPr>
          <w:rFonts w:hint="eastAsia" w:ascii="仿宋_GB2312" w:hAnsi="仿宋_GB2312" w:eastAsia="仿宋_GB2312"/>
          <w:sz w:val="32"/>
          <w:szCs w:val="32"/>
          <w:highlight w:val="none"/>
          <w:lang w:eastAsia="zh-CN"/>
        </w:rPr>
        <w:t>%</w:t>
      </w:r>
      <w:r>
        <w:rPr>
          <w:rFonts w:eastAsia="仿宋_GB2312"/>
          <w:sz w:val="32"/>
          <w:szCs w:val="32"/>
          <w:highlight w:val="none"/>
        </w:rPr>
        <w:t>。主要原因</w:t>
      </w:r>
      <w:r>
        <w:rPr>
          <w:rFonts w:hint="eastAsia" w:eastAsia="仿宋_GB2312"/>
          <w:sz w:val="32"/>
          <w:szCs w:val="32"/>
          <w:highlight w:val="none"/>
          <w:lang w:val="en-US" w:eastAsia="zh-CN"/>
        </w:rPr>
        <w:t>本单位</w:t>
      </w:r>
      <w:r>
        <w:rPr>
          <w:rFonts w:hint="eastAsia" w:ascii="Times New Roman" w:hAnsi="Times New Roman" w:eastAsia="仿宋_GB2312" w:cs="仿宋"/>
          <w:sz w:val="32"/>
          <w:szCs w:val="32"/>
          <w:highlight w:val="none"/>
        </w:rPr>
        <w:t>无政府性基金预算支出</w:t>
      </w:r>
      <w:r>
        <w:rPr>
          <w:rFonts w:eastAsia="仿宋_GB2312"/>
          <w:sz w:val="32"/>
          <w:szCs w:val="32"/>
          <w:highlight w:val="none"/>
        </w:rPr>
        <w:t>。</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九、国有资本经营预算支出预算情况说明</w:t>
      </w:r>
    </w:p>
    <w:p>
      <w:pPr>
        <w:spacing w:line="600" w:lineRule="exact"/>
        <w:ind w:firstLine="640" w:firstLineChars="200"/>
        <w:rPr>
          <w:rFonts w:eastAsia="仿宋_GB2312" w:cstheme="minorBidi"/>
          <w:sz w:val="32"/>
          <w:szCs w:val="32"/>
          <w:highlight w:val="none"/>
        </w:rPr>
      </w:pPr>
      <w:r>
        <w:rPr>
          <w:rFonts w:hint="eastAsia" w:ascii="仿宋_GB2312" w:hAnsi="仿宋_GB2312" w:eastAsia="仿宋_GB2312" w:cs="仿宋"/>
          <w:sz w:val="32"/>
          <w:szCs w:val="32"/>
          <w:highlight w:val="none"/>
          <w:lang w:val="en-US" w:eastAsia="zh-CN"/>
        </w:rPr>
        <w:t>内蒙古自治区医疗管理事务服务中心2025</w:t>
      </w:r>
      <w:r>
        <w:rPr>
          <w:rFonts w:eastAsia="仿宋_GB2312"/>
          <w:sz w:val="32"/>
          <w:szCs w:val="32"/>
          <w:highlight w:val="none"/>
        </w:rPr>
        <w:t>年度</w:t>
      </w:r>
      <w:r>
        <w:rPr>
          <w:rFonts w:hint="eastAsia" w:eastAsia="仿宋_GB2312" w:cstheme="minorBidi"/>
          <w:sz w:val="32"/>
          <w:szCs w:val="32"/>
          <w:highlight w:val="none"/>
        </w:rPr>
        <w:t>国有资本经营预算支出</w:t>
      </w:r>
      <w:r>
        <w:rPr>
          <w:rFonts w:hint="eastAsia" w:eastAsia="仿宋_GB2312" w:cstheme="minorBidi"/>
          <w:sz w:val="32"/>
          <w:szCs w:val="32"/>
          <w:highlight w:val="none"/>
          <w:lang w:val="en-US" w:eastAsia="zh-CN"/>
        </w:rPr>
        <w:t>0.00</w:t>
      </w:r>
      <w:r>
        <w:rPr>
          <w:rFonts w:hint="eastAsia" w:eastAsia="仿宋_GB2312" w:cstheme="minorBidi"/>
          <w:sz w:val="32"/>
          <w:szCs w:val="32"/>
          <w:highlight w:val="none"/>
        </w:rPr>
        <w:t>万元。与上年相比增加</w:t>
      </w:r>
      <w:r>
        <w:rPr>
          <w:rFonts w:hint="eastAsia" w:eastAsia="仿宋_GB2312" w:cstheme="minorBidi"/>
          <w:sz w:val="32"/>
          <w:szCs w:val="32"/>
          <w:highlight w:val="none"/>
          <w:lang w:val="en-US" w:eastAsia="zh-CN"/>
        </w:rPr>
        <w:t>0.00</w:t>
      </w:r>
      <w:r>
        <w:rPr>
          <w:rFonts w:hint="eastAsia" w:eastAsia="仿宋_GB2312" w:cstheme="minorBidi"/>
          <w:sz w:val="32"/>
          <w:szCs w:val="32"/>
          <w:highlight w:val="none"/>
        </w:rPr>
        <w:t>万元，增长</w:t>
      </w:r>
      <w:r>
        <w:rPr>
          <w:rFonts w:hint="eastAsia" w:eastAsia="仿宋_GB2312" w:cstheme="minorBidi"/>
          <w:sz w:val="32"/>
          <w:szCs w:val="32"/>
          <w:highlight w:val="none"/>
          <w:lang w:val="en-US" w:eastAsia="zh-CN"/>
        </w:rPr>
        <w:t>0.00</w:t>
      </w:r>
      <w:r>
        <w:rPr>
          <w:rFonts w:hint="eastAsia" w:ascii="仿宋_GB2312" w:hAnsi="仿宋_GB2312" w:eastAsia="仿宋_GB2312" w:cstheme="minorBidi"/>
          <w:sz w:val="32"/>
          <w:szCs w:val="32"/>
          <w:highlight w:val="none"/>
          <w:lang w:eastAsia="zh-CN"/>
        </w:rPr>
        <w:t>%</w:t>
      </w:r>
      <w:r>
        <w:rPr>
          <w:rFonts w:hint="eastAsia" w:eastAsia="仿宋_GB2312" w:cstheme="minorBidi"/>
          <w:sz w:val="32"/>
          <w:szCs w:val="32"/>
          <w:highlight w:val="none"/>
        </w:rPr>
        <w:t>。主要原因</w:t>
      </w:r>
      <w:r>
        <w:rPr>
          <w:rFonts w:hint="eastAsia" w:eastAsia="仿宋_GB2312" w:cstheme="minorBidi"/>
          <w:sz w:val="32"/>
          <w:szCs w:val="32"/>
          <w:highlight w:val="none"/>
          <w:lang w:val="en-US" w:eastAsia="zh-CN"/>
        </w:rPr>
        <w:t>本</w:t>
      </w:r>
      <w:r>
        <w:rPr>
          <w:rFonts w:hint="eastAsia" w:eastAsia="仿宋_GB2312" w:cstheme="minorBidi"/>
          <w:sz w:val="32"/>
          <w:szCs w:val="32"/>
          <w:highlight w:val="none"/>
        </w:rPr>
        <w:t>单位无国有资本经营预算支出。</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十、项目支出预算情况说明</w:t>
      </w:r>
    </w:p>
    <w:p>
      <w:pPr>
        <w:spacing w:line="600" w:lineRule="exact"/>
        <w:ind w:firstLine="640" w:firstLineChars="200"/>
        <w:rPr>
          <w:rFonts w:eastAsia="仿宋_GB2312"/>
          <w:sz w:val="32"/>
          <w:szCs w:val="32"/>
          <w:highlight w:val="none"/>
        </w:rPr>
      </w:pPr>
      <w:r>
        <w:rPr>
          <w:rFonts w:hint="eastAsia" w:ascii="仿宋_GB2312" w:hAnsi="仿宋_GB2312" w:eastAsia="仿宋_GB2312" w:cs="仿宋"/>
          <w:sz w:val="32"/>
          <w:szCs w:val="32"/>
          <w:highlight w:val="none"/>
          <w:lang w:val="en-US" w:eastAsia="zh-CN"/>
        </w:rPr>
        <w:t>内蒙古自治区医疗管理事务服务中心2025</w:t>
      </w:r>
      <w:r>
        <w:rPr>
          <w:rFonts w:eastAsia="仿宋_GB2312"/>
          <w:sz w:val="32"/>
          <w:szCs w:val="32"/>
          <w:highlight w:val="none"/>
        </w:rPr>
        <w:t>年度预算安排项目</w:t>
      </w:r>
      <w:r>
        <w:rPr>
          <w:rFonts w:hint="eastAsia" w:eastAsia="仿宋_GB2312"/>
          <w:sz w:val="32"/>
          <w:szCs w:val="32"/>
          <w:highlight w:val="none"/>
          <w:lang w:val="en-US" w:eastAsia="zh-CN"/>
        </w:rPr>
        <w:t>2</w:t>
      </w:r>
      <w:r>
        <w:rPr>
          <w:rFonts w:eastAsia="仿宋_GB2312"/>
          <w:sz w:val="32"/>
          <w:szCs w:val="32"/>
          <w:highlight w:val="none"/>
        </w:rPr>
        <w:t>个，项目预算总金额</w:t>
      </w:r>
      <w:r>
        <w:rPr>
          <w:rFonts w:hint="eastAsia" w:eastAsia="仿宋_GB2312"/>
          <w:sz w:val="32"/>
          <w:szCs w:val="32"/>
          <w:highlight w:val="none"/>
          <w:lang w:val="en-US" w:eastAsia="zh-CN"/>
        </w:rPr>
        <w:t>96.00</w:t>
      </w:r>
      <w:r>
        <w:rPr>
          <w:rFonts w:eastAsia="仿宋_GB2312"/>
          <w:sz w:val="32"/>
          <w:szCs w:val="32"/>
          <w:highlight w:val="none"/>
        </w:rPr>
        <w:t>万元。其中，财政本年拨款金额</w:t>
      </w:r>
      <w:r>
        <w:rPr>
          <w:rFonts w:hint="eastAsia" w:eastAsia="仿宋_GB2312"/>
          <w:sz w:val="32"/>
          <w:szCs w:val="32"/>
          <w:highlight w:val="none"/>
          <w:lang w:val="en-US" w:eastAsia="zh-CN"/>
        </w:rPr>
        <w:t>96.00</w:t>
      </w:r>
      <w:r>
        <w:rPr>
          <w:rFonts w:eastAsia="仿宋_GB2312"/>
          <w:sz w:val="32"/>
          <w:szCs w:val="32"/>
          <w:highlight w:val="none"/>
        </w:rPr>
        <w:t>万元，财政拨款结转结余</w:t>
      </w:r>
      <w:r>
        <w:rPr>
          <w:rFonts w:hint="eastAsia" w:eastAsia="仿宋_GB2312"/>
          <w:sz w:val="32"/>
          <w:szCs w:val="32"/>
          <w:highlight w:val="none"/>
          <w:lang w:val="en-US" w:eastAsia="zh-CN"/>
        </w:rPr>
        <w:t>0.00</w:t>
      </w:r>
      <w:r>
        <w:rPr>
          <w:rFonts w:eastAsia="仿宋_GB2312"/>
          <w:sz w:val="32"/>
          <w:szCs w:val="32"/>
          <w:highlight w:val="none"/>
        </w:rPr>
        <w:t>万元，财政专户管理资金</w:t>
      </w:r>
      <w:r>
        <w:rPr>
          <w:rFonts w:hint="eastAsia" w:eastAsia="仿宋_GB2312"/>
          <w:sz w:val="32"/>
          <w:szCs w:val="32"/>
          <w:highlight w:val="none"/>
          <w:lang w:val="en-US" w:eastAsia="zh-CN"/>
        </w:rPr>
        <w:t>0.00</w:t>
      </w:r>
      <w:r>
        <w:rPr>
          <w:rFonts w:eastAsia="仿宋_GB2312"/>
          <w:sz w:val="32"/>
          <w:szCs w:val="32"/>
          <w:highlight w:val="none"/>
        </w:rPr>
        <w:t>万元，单位资金</w:t>
      </w:r>
      <w:r>
        <w:rPr>
          <w:rFonts w:hint="eastAsia" w:eastAsia="仿宋_GB2312"/>
          <w:sz w:val="32"/>
          <w:szCs w:val="32"/>
          <w:highlight w:val="none"/>
          <w:lang w:val="en-US" w:eastAsia="zh-CN"/>
        </w:rPr>
        <w:t>0.00</w:t>
      </w:r>
      <w:r>
        <w:rPr>
          <w:rFonts w:eastAsia="仿宋_GB2312"/>
          <w:sz w:val="32"/>
          <w:szCs w:val="32"/>
          <w:highlight w:val="none"/>
        </w:rPr>
        <w:t>万元。</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十一、</w:t>
      </w:r>
      <w:r>
        <w:rPr>
          <w:rFonts w:hint="eastAsia" w:eastAsia="黑体" w:cs="黑体"/>
          <w:sz w:val="32"/>
          <w:szCs w:val="36"/>
          <w:highlight w:val="none"/>
          <w:lang w:val="en-US" w:eastAsia="zh-CN"/>
        </w:rPr>
        <w:t>机构</w:t>
      </w:r>
      <w:r>
        <w:rPr>
          <w:rFonts w:hint="eastAsia" w:eastAsia="黑体" w:cs="黑体"/>
          <w:sz w:val="32"/>
          <w:szCs w:val="36"/>
          <w:highlight w:val="none"/>
        </w:rPr>
        <w:t>运行经费支出预算情况说明</w:t>
      </w:r>
    </w:p>
    <w:p>
      <w:pPr>
        <w:spacing w:line="600" w:lineRule="exact"/>
        <w:ind w:firstLine="640" w:firstLineChars="200"/>
        <w:rPr>
          <w:rFonts w:hint="default" w:eastAsia="仿宋_GB2312" w:cstheme="minorBidi"/>
          <w:sz w:val="32"/>
          <w:szCs w:val="32"/>
          <w:highlight w:val="none"/>
          <w:lang w:val="en-US" w:eastAsia="zh-CN"/>
        </w:rPr>
      </w:pPr>
      <w:r>
        <w:rPr>
          <w:rFonts w:hint="eastAsia" w:ascii="仿宋_GB2312" w:hAnsi="仿宋_GB2312" w:eastAsia="仿宋_GB2312" w:cs="仿宋"/>
          <w:sz w:val="32"/>
          <w:szCs w:val="32"/>
          <w:highlight w:val="none"/>
          <w:lang w:val="en-US" w:eastAsia="zh-CN"/>
        </w:rPr>
        <w:t>内蒙古自治区医疗管理事务服务中心2025</w:t>
      </w:r>
      <w:r>
        <w:rPr>
          <w:rFonts w:eastAsia="仿宋_GB2312"/>
          <w:sz w:val="32"/>
          <w:szCs w:val="32"/>
          <w:highlight w:val="none"/>
        </w:rPr>
        <w:t>年度</w:t>
      </w:r>
      <w:r>
        <w:rPr>
          <w:rFonts w:hint="eastAsia" w:eastAsia="仿宋_GB2312"/>
          <w:sz w:val="32"/>
          <w:szCs w:val="32"/>
          <w:highlight w:val="none"/>
          <w:lang w:val="en-US" w:eastAsia="zh-CN"/>
        </w:rPr>
        <w:t>机构</w:t>
      </w:r>
      <w:r>
        <w:rPr>
          <w:rFonts w:eastAsia="仿宋_GB2312"/>
          <w:sz w:val="32"/>
          <w:szCs w:val="32"/>
          <w:highlight w:val="none"/>
        </w:rPr>
        <w:t>运行经费预算支出</w:t>
      </w:r>
      <w:r>
        <w:rPr>
          <w:rFonts w:hint="eastAsia" w:eastAsia="仿宋_GB2312"/>
          <w:sz w:val="32"/>
          <w:szCs w:val="32"/>
          <w:highlight w:val="none"/>
          <w:lang w:val="en-US" w:eastAsia="zh-CN"/>
        </w:rPr>
        <w:t>25.50</w:t>
      </w:r>
      <w:r>
        <w:rPr>
          <w:rFonts w:eastAsia="仿宋_GB2312"/>
          <w:sz w:val="32"/>
          <w:szCs w:val="32"/>
          <w:highlight w:val="none"/>
        </w:rPr>
        <w:t>万元</w:t>
      </w:r>
      <w:r>
        <w:rPr>
          <w:rFonts w:hint="eastAsia" w:eastAsia="仿宋_GB2312" w:cstheme="minorBidi"/>
          <w:sz w:val="32"/>
          <w:szCs w:val="32"/>
          <w:highlight w:val="none"/>
        </w:rPr>
        <w:t>，</w:t>
      </w:r>
      <w:r>
        <w:rPr>
          <w:rFonts w:eastAsia="仿宋_GB2312"/>
          <w:color w:val="000000" w:themeColor="text1"/>
          <w:sz w:val="32"/>
          <w:szCs w:val="32"/>
          <w:highlight w:val="none"/>
          <w14:textFill>
            <w14:solidFill>
              <w14:schemeClr w14:val="tx1"/>
            </w14:solidFill>
          </w14:textFill>
        </w:rPr>
        <w:t>与</w:t>
      </w:r>
      <w:r>
        <w:rPr>
          <w:rFonts w:eastAsia="仿宋_GB2312"/>
          <w:sz w:val="32"/>
          <w:szCs w:val="32"/>
          <w:highlight w:val="none"/>
        </w:rPr>
        <w:t>上年相比增加</w:t>
      </w:r>
      <w:r>
        <w:rPr>
          <w:rFonts w:hint="eastAsia" w:eastAsia="仿宋_GB2312"/>
          <w:sz w:val="32"/>
          <w:szCs w:val="32"/>
          <w:highlight w:val="none"/>
          <w:lang w:val="en-US" w:eastAsia="zh-CN"/>
        </w:rPr>
        <w:t>2.39</w:t>
      </w:r>
      <w:r>
        <w:rPr>
          <w:rFonts w:eastAsia="仿宋_GB2312"/>
          <w:sz w:val="32"/>
          <w:szCs w:val="32"/>
          <w:highlight w:val="none"/>
        </w:rPr>
        <w:t>万元，增长</w:t>
      </w:r>
      <w:r>
        <w:rPr>
          <w:rFonts w:hint="eastAsia" w:eastAsia="仿宋_GB2312"/>
          <w:sz w:val="32"/>
          <w:szCs w:val="32"/>
          <w:highlight w:val="none"/>
          <w:lang w:val="en-US" w:eastAsia="zh-CN"/>
        </w:rPr>
        <w:t>10.34</w:t>
      </w:r>
      <w:r>
        <w:rPr>
          <w:rFonts w:hint="eastAsia" w:ascii="仿宋_GB2312" w:hAnsi="仿宋_GB2312" w:eastAsia="仿宋_GB2312"/>
          <w:sz w:val="32"/>
          <w:szCs w:val="32"/>
          <w:highlight w:val="none"/>
          <w:lang w:eastAsia="zh-CN"/>
        </w:rPr>
        <w:t>%</w:t>
      </w:r>
      <w:r>
        <w:rPr>
          <w:rFonts w:eastAsia="仿宋_GB2312"/>
          <w:sz w:val="32"/>
          <w:szCs w:val="32"/>
          <w:highlight w:val="none"/>
        </w:rPr>
        <w:t>。主要原因是：</w:t>
      </w:r>
      <w:r>
        <w:rPr>
          <w:rFonts w:hint="eastAsia" w:eastAsia="仿宋_GB2312"/>
          <w:sz w:val="32"/>
          <w:szCs w:val="32"/>
          <w:highlight w:val="none"/>
          <w:lang w:val="en-US" w:eastAsia="zh-CN"/>
        </w:rPr>
        <w:t>人员调整，日常业务增加，机构</w:t>
      </w:r>
      <w:r>
        <w:rPr>
          <w:rFonts w:eastAsia="仿宋_GB2312"/>
          <w:sz w:val="32"/>
          <w:szCs w:val="32"/>
          <w:highlight w:val="none"/>
        </w:rPr>
        <w:t>运行经费</w:t>
      </w:r>
      <w:r>
        <w:rPr>
          <w:rFonts w:hint="eastAsia" w:eastAsia="仿宋_GB2312"/>
          <w:sz w:val="32"/>
          <w:szCs w:val="32"/>
          <w:highlight w:val="none"/>
          <w:lang w:val="en-US" w:eastAsia="zh-CN"/>
        </w:rPr>
        <w:t>相应增加</w:t>
      </w:r>
      <w:r>
        <w:rPr>
          <w:rFonts w:eastAsia="仿宋_GB2312"/>
          <w:sz w:val="32"/>
          <w:szCs w:val="32"/>
          <w:highlight w:val="none"/>
        </w:rPr>
        <w:t>。</w:t>
      </w:r>
    </w:p>
    <w:p>
      <w:pPr>
        <w:spacing w:line="600" w:lineRule="exact"/>
        <w:ind w:left="0" w:leftChars="0" w:firstLine="640" w:firstLineChars="200"/>
        <w:outlineLvl w:val="2"/>
        <w:rPr>
          <w:rFonts w:eastAsia="黑体" w:cs="黑体"/>
          <w:b/>
          <w:bCs/>
          <w:sz w:val="32"/>
          <w:szCs w:val="36"/>
          <w:highlight w:val="none"/>
        </w:rPr>
      </w:pPr>
      <w:r>
        <w:rPr>
          <w:rFonts w:hint="eastAsia" w:eastAsia="黑体" w:cs="黑体"/>
          <w:sz w:val="32"/>
          <w:szCs w:val="36"/>
          <w:highlight w:val="none"/>
        </w:rPr>
        <w:t>十二、政府采购支出预算情况说明</w:t>
      </w:r>
    </w:p>
    <w:p>
      <w:pPr>
        <w:spacing w:line="600" w:lineRule="exact"/>
        <w:ind w:firstLine="640" w:firstLineChars="200"/>
        <w:rPr>
          <w:rFonts w:eastAsia="仿宋_GB2312"/>
          <w:sz w:val="32"/>
          <w:szCs w:val="32"/>
          <w:highlight w:val="none"/>
        </w:rPr>
      </w:pPr>
      <w:r>
        <w:rPr>
          <w:rFonts w:hint="eastAsia" w:ascii="仿宋_GB2312" w:hAnsi="仿宋_GB2312" w:eastAsia="仿宋_GB2312" w:cs="仿宋"/>
          <w:sz w:val="32"/>
          <w:szCs w:val="32"/>
          <w:highlight w:val="none"/>
          <w:lang w:val="en-US" w:eastAsia="zh-CN"/>
        </w:rPr>
        <w:t>内蒙古自治区医疗管理事务服务中心2025</w:t>
      </w:r>
      <w:r>
        <w:rPr>
          <w:rFonts w:eastAsia="仿宋_GB2312"/>
          <w:sz w:val="32"/>
          <w:szCs w:val="32"/>
          <w:highlight w:val="none"/>
        </w:rPr>
        <w:t>年度政府采购支出预算总额</w:t>
      </w:r>
      <w:r>
        <w:rPr>
          <w:rFonts w:hint="eastAsia" w:eastAsia="仿宋_GB2312"/>
          <w:sz w:val="32"/>
          <w:szCs w:val="32"/>
          <w:highlight w:val="none"/>
          <w:lang w:val="en-US" w:eastAsia="zh-CN"/>
        </w:rPr>
        <w:t>5.50</w:t>
      </w:r>
      <w:r>
        <w:rPr>
          <w:rFonts w:eastAsia="仿宋_GB2312"/>
          <w:sz w:val="32"/>
          <w:szCs w:val="32"/>
          <w:highlight w:val="none"/>
        </w:rPr>
        <w:t>万元，其中：拟采购货物支出</w:t>
      </w:r>
      <w:r>
        <w:rPr>
          <w:rFonts w:hint="eastAsia" w:eastAsia="仿宋_GB2312"/>
          <w:sz w:val="32"/>
          <w:szCs w:val="32"/>
          <w:highlight w:val="none"/>
          <w:lang w:val="en-US" w:eastAsia="zh-CN"/>
        </w:rPr>
        <w:t>1.00</w:t>
      </w:r>
      <w:r>
        <w:rPr>
          <w:rFonts w:eastAsia="仿宋_GB2312"/>
          <w:sz w:val="32"/>
          <w:szCs w:val="32"/>
          <w:highlight w:val="none"/>
        </w:rPr>
        <w:t>万元、拟采购工程支出</w:t>
      </w:r>
      <w:r>
        <w:rPr>
          <w:rFonts w:hint="eastAsia" w:eastAsia="仿宋_GB2312"/>
          <w:sz w:val="32"/>
          <w:szCs w:val="32"/>
          <w:highlight w:val="none"/>
          <w:lang w:val="en-US" w:eastAsia="zh-CN"/>
        </w:rPr>
        <w:t>0.00</w:t>
      </w:r>
      <w:r>
        <w:rPr>
          <w:rFonts w:eastAsia="仿宋_GB2312"/>
          <w:sz w:val="32"/>
          <w:szCs w:val="32"/>
          <w:highlight w:val="none"/>
        </w:rPr>
        <w:t>万元、拟购买服务支出</w:t>
      </w:r>
      <w:r>
        <w:rPr>
          <w:rFonts w:hint="eastAsia" w:eastAsia="仿宋_GB2312"/>
          <w:sz w:val="32"/>
          <w:szCs w:val="32"/>
          <w:highlight w:val="none"/>
          <w:lang w:val="en-US" w:eastAsia="zh-CN"/>
        </w:rPr>
        <w:t>4.50</w:t>
      </w:r>
      <w:r>
        <w:rPr>
          <w:rFonts w:eastAsia="仿宋_GB2312"/>
          <w:sz w:val="32"/>
          <w:szCs w:val="32"/>
          <w:highlight w:val="none"/>
        </w:rPr>
        <w:t>万元。</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十三、国有资产占用情况说明</w:t>
      </w:r>
    </w:p>
    <w:p>
      <w:pPr>
        <w:spacing w:line="600" w:lineRule="exact"/>
        <w:ind w:firstLine="640" w:firstLineChars="200"/>
        <w:rPr>
          <w:rFonts w:eastAsia="仿宋_GB2312" w:cstheme="minorBidi"/>
          <w:sz w:val="32"/>
          <w:szCs w:val="32"/>
          <w:highlight w:val="none"/>
        </w:rPr>
      </w:pPr>
      <w:r>
        <w:rPr>
          <w:rFonts w:hint="eastAsia" w:ascii="仿宋_GB2312" w:hAnsi="仿宋_GB2312" w:eastAsia="仿宋_GB2312" w:cs="仿宋"/>
          <w:sz w:val="32"/>
          <w:szCs w:val="32"/>
          <w:highlight w:val="none"/>
          <w:lang w:val="en-US" w:eastAsia="zh-CN"/>
        </w:rPr>
        <w:t>内蒙古自治区医疗管理事务服务中心2025</w:t>
      </w:r>
      <w:r>
        <w:rPr>
          <w:rFonts w:eastAsia="仿宋_GB2312"/>
          <w:sz w:val="32"/>
          <w:szCs w:val="32"/>
          <w:highlight w:val="none"/>
        </w:rPr>
        <w:t>年度共有车辆</w:t>
      </w:r>
      <w:r>
        <w:rPr>
          <w:rFonts w:hint="eastAsia" w:eastAsia="仿宋_GB2312"/>
          <w:sz w:val="32"/>
          <w:szCs w:val="32"/>
          <w:highlight w:val="none"/>
          <w:lang w:val="en-US" w:eastAsia="zh-CN"/>
        </w:rPr>
        <w:t>1</w:t>
      </w:r>
      <w:r>
        <w:rPr>
          <w:rFonts w:eastAsia="仿宋_GB2312"/>
          <w:sz w:val="32"/>
          <w:szCs w:val="32"/>
          <w:highlight w:val="none"/>
        </w:rPr>
        <w:t>辆，其中，一般公务用车</w:t>
      </w:r>
      <w:r>
        <w:rPr>
          <w:rFonts w:hint="eastAsia" w:eastAsia="仿宋_GB2312"/>
          <w:sz w:val="32"/>
          <w:szCs w:val="32"/>
          <w:highlight w:val="none"/>
          <w:lang w:val="en-US" w:eastAsia="zh-CN"/>
        </w:rPr>
        <w:t>0</w:t>
      </w:r>
      <w:r>
        <w:rPr>
          <w:rFonts w:eastAsia="仿宋_GB2312"/>
          <w:sz w:val="32"/>
          <w:szCs w:val="32"/>
          <w:highlight w:val="none"/>
        </w:rPr>
        <w:t>辆、执法执勤用车</w:t>
      </w:r>
      <w:r>
        <w:rPr>
          <w:rFonts w:hint="eastAsia" w:eastAsia="仿宋_GB2312"/>
          <w:sz w:val="32"/>
          <w:szCs w:val="32"/>
          <w:highlight w:val="none"/>
          <w:lang w:val="en-US" w:eastAsia="zh-CN"/>
        </w:rPr>
        <w:t>0</w:t>
      </w:r>
      <w:r>
        <w:rPr>
          <w:rFonts w:eastAsia="仿宋_GB2312"/>
          <w:sz w:val="32"/>
          <w:szCs w:val="32"/>
          <w:highlight w:val="none"/>
        </w:rPr>
        <w:t>辆、特种专业技术用车</w:t>
      </w:r>
      <w:r>
        <w:rPr>
          <w:rFonts w:hint="eastAsia" w:eastAsia="仿宋_GB2312"/>
          <w:sz w:val="32"/>
          <w:szCs w:val="32"/>
          <w:highlight w:val="none"/>
          <w:lang w:val="en-US" w:eastAsia="zh-CN"/>
        </w:rPr>
        <w:t>0</w:t>
      </w:r>
      <w:r>
        <w:rPr>
          <w:rFonts w:eastAsia="仿宋_GB2312"/>
          <w:sz w:val="32"/>
          <w:szCs w:val="32"/>
          <w:highlight w:val="none"/>
        </w:rPr>
        <w:t>辆、业务用车</w:t>
      </w:r>
      <w:r>
        <w:rPr>
          <w:rFonts w:hint="eastAsia" w:eastAsia="仿宋_GB2312"/>
          <w:sz w:val="32"/>
          <w:szCs w:val="32"/>
          <w:highlight w:val="none"/>
          <w:lang w:val="en-US" w:eastAsia="zh-CN"/>
        </w:rPr>
        <w:t>0</w:t>
      </w:r>
      <w:r>
        <w:rPr>
          <w:rFonts w:eastAsia="仿宋_GB2312"/>
          <w:sz w:val="32"/>
          <w:szCs w:val="32"/>
          <w:highlight w:val="none"/>
        </w:rPr>
        <w:t>辆、其他用车</w:t>
      </w:r>
      <w:r>
        <w:rPr>
          <w:rFonts w:hint="eastAsia" w:eastAsia="仿宋_GB2312"/>
          <w:sz w:val="32"/>
          <w:szCs w:val="32"/>
          <w:highlight w:val="none"/>
          <w:lang w:val="en-US" w:eastAsia="zh-CN"/>
        </w:rPr>
        <w:t>1</w:t>
      </w:r>
      <w:r>
        <w:rPr>
          <w:rFonts w:eastAsia="仿宋_GB2312"/>
          <w:sz w:val="32"/>
          <w:szCs w:val="32"/>
          <w:highlight w:val="none"/>
        </w:rPr>
        <w:t>辆等。单价50万元（含）以上的通用设备</w:t>
      </w:r>
      <w:r>
        <w:rPr>
          <w:rFonts w:hint="eastAsia" w:eastAsia="仿宋_GB2312"/>
          <w:sz w:val="32"/>
          <w:szCs w:val="32"/>
          <w:highlight w:val="none"/>
          <w:lang w:val="en-US" w:eastAsia="zh-CN"/>
        </w:rPr>
        <w:t>0</w:t>
      </w:r>
      <w:r>
        <w:rPr>
          <w:rFonts w:eastAsia="仿宋_GB2312"/>
          <w:sz w:val="32"/>
          <w:szCs w:val="32"/>
          <w:highlight w:val="none"/>
        </w:rPr>
        <w:t>台（套），单价100万元（含）以上的专用设备</w:t>
      </w:r>
      <w:r>
        <w:rPr>
          <w:rFonts w:hint="eastAsia" w:eastAsia="仿宋_GB2312"/>
          <w:sz w:val="32"/>
          <w:szCs w:val="32"/>
          <w:highlight w:val="none"/>
          <w:lang w:val="en-US" w:eastAsia="zh-CN"/>
        </w:rPr>
        <w:t>0</w:t>
      </w:r>
      <w:r>
        <w:rPr>
          <w:rFonts w:eastAsia="仿宋_GB2312"/>
          <w:sz w:val="32"/>
          <w:szCs w:val="32"/>
          <w:highlight w:val="none"/>
        </w:rPr>
        <w:t>台（套）。</w:t>
      </w:r>
    </w:p>
    <w:p>
      <w:pPr>
        <w:spacing w:line="600" w:lineRule="exact"/>
        <w:ind w:left="0" w:leftChars="0" w:firstLine="640" w:firstLineChars="200"/>
        <w:outlineLvl w:val="2"/>
        <w:rPr>
          <w:rFonts w:eastAsia="黑体" w:cs="黑体"/>
          <w:sz w:val="32"/>
          <w:szCs w:val="36"/>
          <w:highlight w:val="none"/>
        </w:rPr>
      </w:pPr>
      <w:r>
        <w:rPr>
          <w:rFonts w:hint="eastAsia" w:eastAsia="黑体" w:cs="黑体"/>
          <w:sz w:val="32"/>
          <w:szCs w:val="36"/>
          <w:highlight w:val="none"/>
        </w:rPr>
        <w:t xml:space="preserve">十四、项目绩效目标情况说明 </w:t>
      </w:r>
    </w:p>
    <w:p>
      <w:pPr>
        <w:spacing w:line="600" w:lineRule="exact"/>
        <w:ind w:firstLine="640" w:firstLineChars="200"/>
        <w:rPr>
          <w:rFonts w:eastAsia="仿宋_GB2312" w:cstheme="minorBidi"/>
          <w:sz w:val="32"/>
          <w:szCs w:val="32"/>
          <w:highlight w:val="none"/>
        </w:rPr>
      </w:pPr>
      <w:r>
        <w:rPr>
          <w:rFonts w:hint="eastAsia" w:ascii="仿宋_GB2312" w:hAnsi="仿宋_GB2312" w:eastAsia="仿宋_GB2312" w:cs="仿宋"/>
          <w:sz w:val="32"/>
          <w:szCs w:val="32"/>
          <w:highlight w:val="none"/>
          <w:lang w:val="en-US" w:eastAsia="zh-CN"/>
        </w:rPr>
        <w:t>内蒙古自治区医疗管理事务服务中心2025</w:t>
      </w:r>
      <w:r>
        <w:rPr>
          <w:rFonts w:eastAsia="仿宋_GB2312"/>
          <w:sz w:val="32"/>
          <w:szCs w:val="32"/>
          <w:highlight w:val="none"/>
        </w:rPr>
        <w:t>年度</w:t>
      </w:r>
      <w:r>
        <w:rPr>
          <w:rFonts w:hint="eastAsia" w:eastAsia="仿宋_GB2312" w:cstheme="minorBidi"/>
          <w:sz w:val="32"/>
          <w:szCs w:val="32"/>
          <w:highlight w:val="none"/>
        </w:rPr>
        <w:t>填报绩效目标的预算项目</w:t>
      </w:r>
      <w:r>
        <w:rPr>
          <w:rFonts w:hint="eastAsia" w:eastAsia="仿宋_GB2312" w:cstheme="minorBidi"/>
          <w:sz w:val="32"/>
          <w:szCs w:val="32"/>
          <w:highlight w:val="none"/>
          <w:lang w:val="en-US" w:eastAsia="zh-CN"/>
        </w:rPr>
        <w:t>2</w:t>
      </w:r>
      <w:r>
        <w:rPr>
          <w:rFonts w:hint="eastAsia" w:eastAsia="仿宋_GB2312" w:cstheme="minorBidi"/>
          <w:sz w:val="32"/>
          <w:szCs w:val="32"/>
          <w:highlight w:val="none"/>
        </w:rPr>
        <w:t>个，公开</w:t>
      </w:r>
      <w:r>
        <w:rPr>
          <w:rFonts w:hint="eastAsia" w:eastAsia="仿宋_GB2312" w:cstheme="minorBidi"/>
          <w:sz w:val="32"/>
          <w:szCs w:val="32"/>
          <w:highlight w:val="none"/>
          <w:lang w:val="en-US" w:eastAsia="zh-CN"/>
        </w:rPr>
        <w:t>项目2</w:t>
      </w:r>
      <w:r>
        <w:rPr>
          <w:rFonts w:hint="eastAsia" w:eastAsia="仿宋_GB2312" w:cstheme="minorBidi"/>
          <w:sz w:val="32"/>
          <w:szCs w:val="32"/>
          <w:highlight w:val="none"/>
        </w:rPr>
        <w:t>个，公开项目占全部预算项目的100</w:t>
      </w:r>
      <w:r>
        <w:rPr>
          <w:rFonts w:hint="eastAsia" w:ascii="仿宋_GB2312" w:hAnsi="仿宋_GB2312" w:eastAsia="仿宋_GB2312" w:cstheme="minorBidi"/>
          <w:sz w:val="32"/>
          <w:szCs w:val="32"/>
          <w:highlight w:val="none"/>
          <w:lang w:eastAsia="zh-CN"/>
        </w:rPr>
        <w:t>%</w:t>
      </w:r>
      <w:r>
        <w:rPr>
          <w:rFonts w:hint="eastAsia" w:eastAsia="仿宋_GB2312" w:cstheme="minorBidi"/>
          <w:sz w:val="32"/>
          <w:szCs w:val="32"/>
          <w:highlight w:val="none"/>
        </w:rPr>
        <w:t>。公开填报绩效目标的项目预算</w:t>
      </w:r>
      <w:r>
        <w:rPr>
          <w:rFonts w:hint="eastAsia" w:eastAsia="仿宋_GB2312" w:cstheme="minorBidi"/>
          <w:sz w:val="32"/>
          <w:szCs w:val="32"/>
          <w:highlight w:val="none"/>
          <w:lang w:val="en-US" w:eastAsia="zh-CN"/>
        </w:rPr>
        <w:t>96.00</w:t>
      </w:r>
      <w:r>
        <w:rPr>
          <w:rFonts w:hint="eastAsia" w:eastAsia="仿宋_GB2312" w:cstheme="minorBidi"/>
          <w:sz w:val="32"/>
          <w:szCs w:val="32"/>
          <w:highlight w:val="none"/>
        </w:rPr>
        <w:t>万元，占全部项目预算的100</w:t>
      </w:r>
      <w:r>
        <w:rPr>
          <w:rFonts w:hint="eastAsia" w:ascii="仿宋_GB2312" w:hAnsi="仿宋_GB2312" w:eastAsia="仿宋_GB2312" w:cstheme="minorBidi"/>
          <w:sz w:val="32"/>
          <w:szCs w:val="32"/>
          <w:highlight w:val="none"/>
          <w:lang w:eastAsia="zh-CN"/>
        </w:rPr>
        <w:t>%</w:t>
      </w:r>
      <w:r>
        <w:rPr>
          <w:rFonts w:hint="eastAsia" w:eastAsia="仿宋_GB2312" w:cstheme="minorBidi"/>
          <w:sz w:val="32"/>
          <w:szCs w:val="32"/>
          <w:highlight w:val="none"/>
        </w:rPr>
        <w:t xml:space="preserve">。 </w:t>
      </w:r>
    </w:p>
    <w:p>
      <w:pPr>
        <w:pStyle w:val="14"/>
        <w:spacing w:after="0" w:line="600" w:lineRule="exact"/>
        <w:rPr>
          <w:rFonts w:hint="default" w:ascii="方正小标宋简体" w:hAnsi="方正小标宋简体" w:eastAsia="方正小标宋简体" w:cs="方正小标宋简体"/>
          <w:sz w:val="36"/>
          <w:szCs w:val="36"/>
          <w:highlight w:val="none"/>
        </w:rPr>
      </w:pPr>
    </w:p>
    <w:p>
      <w:pPr>
        <w:pStyle w:val="3"/>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bookmarkStart w:id="2" w:name="_Toc15573"/>
      <w:r>
        <w:rPr>
          <w:rFonts w:hint="eastAsia" w:ascii="方正小标宋简体" w:hAnsi="方正小标宋简体" w:eastAsia="方正小标宋简体" w:cs="方正小标宋简体"/>
          <w:b w:val="0"/>
          <w:bCs w:val="0"/>
          <w:sz w:val="36"/>
          <w:szCs w:val="36"/>
          <w:highlight w:val="none"/>
        </w:rPr>
        <w:t>第三部分</w:t>
      </w:r>
      <w:r>
        <w:rPr>
          <w:rFonts w:hint="eastAsia" w:ascii="方正小标宋简体" w:hAnsi="方正小标宋简体" w:eastAsia="方正小标宋简体" w:cs="方正小标宋简体"/>
          <w:b w:val="0"/>
          <w:bCs w:val="0"/>
          <w:sz w:val="36"/>
          <w:szCs w:val="36"/>
          <w:highlight w:val="none"/>
          <w:lang w:val="en-US" w:eastAsia="zh-CN"/>
        </w:rPr>
        <w:t xml:space="preserve">  </w:t>
      </w:r>
      <w:r>
        <w:rPr>
          <w:rFonts w:hint="eastAsia" w:ascii="方正小标宋简体" w:hAnsi="方正小标宋简体" w:eastAsia="方正小标宋简体" w:cs="方正小标宋简体"/>
          <w:b w:val="0"/>
          <w:bCs w:val="0"/>
          <w:sz w:val="36"/>
          <w:szCs w:val="36"/>
          <w:highlight w:val="none"/>
        </w:rPr>
        <w:t>名词解释</w:t>
      </w:r>
      <w:bookmarkEnd w:id="2"/>
    </w:p>
    <w:p>
      <w:pPr>
        <w:rPr>
          <w:sz w:val="36"/>
          <w:szCs w:val="36"/>
          <w:highlight w:val="none"/>
        </w:rPr>
      </w:pP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一、财政拨款：</w:t>
      </w:r>
      <w:r>
        <w:rPr>
          <w:rFonts w:hint="eastAsia" w:eastAsia="仿宋_GB2312" w:cstheme="minorBidi"/>
          <w:sz w:val="32"/>
          <w:szCs w:val="32"/>
          <w:highlight w:val="none"/>
        </w:rPr>
        <w:t>从同级财政部门取得的各类财政拨款，包括一般公共预算拨款、政府性基金预算拨款、国有资本经营预算拨款。</w:t>
      </w:r>
    </w:p>
    <w:p>
      <w:pPr>
        <w:spacing w:line="600" w:lineRule="exact"/>
        <w:ind w:firstLine="643" w:firstLineChars="200"/>
        <w:rPr>
          <w:highlight w:val="none"/>
        </w:rPr>
      </w:pPr>
      <w:r>
        <w:rPr>
          <w:rFonts w:hint="eastAsia" w:eastAsia="仿宋_GB2312" w:cstheme="minorBidi"/>
          <w:b/>
          <w:bCs/>
          <w:sz w:val="32"/>
          <w:szCs w:val="32"/>
          <w:highlight w:val="none"/>
        </w:rPr>
        <w:t>二、一般公共预算拨款收入：</w:t>
      </w:r>
      <w:r>
        <w:rPr>
          <w:rFonts w:hint="eastAsia" w:ascii="Times New Roman" w:hAnsi="Times New Roman" w:eastAsia="仿宋_GB2312" w:cs="仿宋"/>
          <w:bCs/>
          <w:sz w:val="30"/>
          <w:szCs w:val="30"/>
          <w:highlight w:val="none"/>
        </w:rPr>
        <w:t>指财政当年拨付的资金。</w:t>
      </w: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三、财政专户管理资金：</w:t>
      </w:r>
      <w:r>
        <w:rPr>
          <w:rFonts w:hint="eastAsia" w:eastAsia="仿宋_GB2312" w:cstheme="minorBidi"/>
          <w:sz w:val="32"/>
          <w:szCs w:val="32"/>
          <w:highlight w:val="none"/>
        </w:rPr>
        <w:t>缴入财政专户、实行专项管理的高中以上学费、住宿费、高校委托培养费、函大、电大、夜大及短训班培训费等教育收费。</w:t>
      </w: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四、单位资金：</w:t>
      </w:r>
      <w:r>
        <w:rPr>
          <w:rFonts w:hint="eastAsia" w:eastAsia="仿宋_GB2312" w:cstheme="minorBidi"/>
          <w:sz w:val="32"/>
          <w:szCs w:val="32"/>
          <w:highlight w:val="none"/>
        </w:rPr>
        <w:t>除财政拨款收入和财政专户管理资金以外的收入，包括事业收入（不含教育收费）、上级补助收入、附属单位上缴收入、事业单位经营收入及其他收入（包含债务收入、投资收益等）。</w:t>
      </w: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五、基本支出：</w:t>
      </w:r>
      <w:r>
        <w:rPr>
          <w:rFonts w:hint="eastAsia" w:eastAsia="仿宋_GB2312" w:cstheme="minorBidi"/>
          <w:sz w:val="32"/>
          <w:szCs w:val="32"/>
          <w:highlight w:val="none"/>
        </w:rPr>
        <w:t>指为保障机构正常运转、完成工作任务而发生的人员支出和公用支出。</w:t>
      </w: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六、项目支出：</w:t>
      </w:r>
      <w:r>
        <w:rPr>
          <w:rFonts w:hint="eastAsia" w:eastAsia="仿宋_GB2312" w:cstheme="minorBidi"/>
          <w:sz w:val="32"/>
          <w:szCs w:val="32"/>
          <w:highlight w:val="none"/>
        </w:rPr>
        <w:t>指在基本支出之外为完成特定工作任务和事业发展目标所发生的支出。</w:t>
      </w: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七、对个人和家庭的补助：</w:t>
      </w:r>
      <w:r>
        <w:rPr>
          <w:rFonts w:hint="eastAsia" w:eastAsia="仿宋_GB2312" w:cstheme="minorBidi"/>
          <w:sz w:val="32"/>
          <w:szCs w:val="32"/>
          <w:highlight w:val="none"/>
        </w:rPr>
        <w:t>是指政府用于对个人和家庭的补助支出。</w:t>
      </w:r>
    </w:p>
    <w:p>
      <w:pPr>
        <w:spacing w:line="600" w:lineRule="exact"/>
        <w:ind w:firstLine="643" w:firstLineChars="200"/>
        <w:rPr>
          <w:rFonts w:eastAsia="仿宋_GB2312" w:cstheme="minorBidi"/>
          <w:sz w:val="32"/>
          <w:szCs w:val="32"/>
          <w:highlight w:val="none"/>
        </w:rPr>
      </w:pPr>
      <w:r>
        <w:rPr>
          <w:rFonts w:hint="eastAsia" w:eastAsia="仿宋_GB2312" w:cstheme="minorBidi"/>
          <w:b/>
          <w:bCs/>
          <w:sz w:val="32"/>
          <w:szCs w:val="32"/>
          <w:highlight w:val="none"/>
        </w:rPr>
        <w:t>八、“三公”经费：</w:t>
      </w:r>
      <w:r>
        <w:rPr>
          <w:rFonts w:hint="eastAsia" w:eastAsia="仿宋_GB2312" w:cstheme="minorBidi"/>
          <w:sz w:val="32"/>
          <w:szCs w:val="32"/>
          <w:highlight w:val="none"/>
        </w:rPr>
        <w:t>指部门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用一般公共预算财政拨款安排的因公出国（境）费、公务用车购置及运行维护费和公务接待费。其中，因公出国（境）费反映部门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公务出国（境）的住宿费、旅费、伙食补助费、杂费、培训费等支出；公务用车购置及运行维护费反映部门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公务用车购置费、燃料费、维修费、过路过桥费、保险费、安全奖励费用等支出；公务接待费反映部门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按规定开支的各类公务接待（含外宾接待）支出。</w:t>
      </w:r>
    </w:p>
    <w:p>
      <w:pPr>
        <w:spacing w:line="600" w:lineRule="exact"/>
        <w:ind w:firstLine="643" w:firstLineChars="200"/>
        <w:rPr>
          <w:rFonts w:ascii="方正小标宋简体" w:hAnsi="方正小标宋简体" w:eastAsia="方正小标宋简体" w:cs="方正小标宋简体"/>
          <w:sz w:val="36"/>
          <w:szCs w:val="36"/>
          <w:highlight w:val="none"/>
        </w:rPr>
      </w:pPr>
      <w:r>
        <w:rPr>
          <w:rFonts w:hint="eastAsia" w:eastAsia="仿宋_GB2312" w:cstheme="minorBidi"/>
          <w:b/>
          <w:bCs/>
          <w:sz w:val="32"/>
          <w:szCs w:val="32"/>
          <w:highlight w:val="none"/>
        </w:rPr>
        <w:t>九、</w:t>
      </w:r>
      <w:r>
        <w:rPr>
          <w:rFonts w:hint="eastAsia" w:eastAsia="仿宋_GB2312" w:cstheme="minorBidi"/>
          <w:b/>
          <w:bCs/>
          <w:sz w:val="32"/>
          <w:szCs w:val="32"/>
          <w:highlight w:val="none"/>
          <w:lang w:val="en-US" w:eastAsia="zh-CN"/>
        </w:rPr>
        <w:t>机构</w:t>
      </w:r>
      <w:r>
        <w:rPr>
          <w:rFonts w:hint="eastAsia" w:eastAsia="仿宋_GB2312" w:cstheme="minorBidi"/>
          <w:b/>
          <w:bCs/>
          <w:sz w:val="32"/>
          <w:szCs w:val="32"/>
          <w:highlight w:val="none"/>
        </w:rPr>
        <w:t>运行经费：</w:t>
      </w:r>
      <w:r>
        <w:rPr>
          <w:rFonts w:hint="eastAsia" w:eastAsia="仿宋_GB2312" w:cstheme="minorBidi"/>
          <w:sz w:val="32"/>
          <w:szCs w:val="32"/>
          <w:highlight w:val="none"/>
        </w:rPr>
        <w:t>指部门</w:t>
      </w:r>
      <w:r>
        <w:rPr>
          <w:rFonts w:hint="eastAsia" w:eastAsia="仿宋_GB2312" w:cstheme="minorBidi"/>
          <w:sz w:val="32"/>
          <w:szCs w:val="32"/>
          <w:highlight w:val="none"/>
          <w:lang w:eastAsia="zh-CN"/>
        </w:rPr>
        <w:t>（</w:t>
      </w:r>
      <w:r>
        <w:rPr>
          <w:rFonts w:hint="eastAsia" w:eastAsia="仿宋_GB2312" w:cstheme="minorBidi"/>
          <w:sz w:val="32"/>
          <w:szCs w:val="32"/>
          <w:highlight w:val="none"/>
        </w:rPr>
        <w:t>单位</w:t>
      </w:r>
      <w:r>
        <w:rPr>
          <w:rFonts w:hint="eastAsia" w:eastAsia="仿宋_GB2312" w:cstheme="minorBidi"/>
          <w:sz w:val="32"/>
          <w:szCs w:val="32"/>
          <w:highlight w:val="none"/>
          <w:lang w:eastAsia="zh-CN"/>
        </w:rPr>
        <w:t>）</w:t>
      </w:r>
      <w:r>
        <w:rPr>
          <w:rFonts w:hint="eastAsia" w:eastAsia="仿宋_GB2312" w:cstheme="minorBidi"/>
          <w:sz w:val="32"/>
          <w:szCs w:val="32"/>
          <w:highlight w:val="none"/>
        </w:rPr>
        <w:t>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3"/>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b w:val="0"/>
          <w:bCs w:val="0"/>
          <w:sz w:val="36"/>
          <w:szCs w:val="36"/>
          <w:highlight w:val="none"/>
        </w:rPr>
      </w:pPr>
      <w:bookmarkStart w:id="3" w:name="_Toc21331"/>
      <w:r>
        <w:rPr>
          <w:rFonts w:hint="eastAsia" w:ascii="方正小标宋简体" w:hAnsi="方正小标宋简体" w:eastAsia="方正小标宋简体" w:cs="方正小标宋简体"/>
          <w:b w:val="0"/>
          <w:bCs w:val="0"/>
          <w:sz w:val="36"/>
          <w:szCs w:val="36"/>
          <w:highlight w:val="none"/>
        </w:rPr>
        <w:t>第四部分</w:t>
      </w:r>
      <w:r>
        <w:rPr>
          <w:rFonts w:hint="eastAsia" w:ascii="方正小标宋简体" w:hAnsi="方正小标宋简体" w:eastAsia="方正小标宋简体" w:cs="方正小标宋简体"/>
          <w:b w:val="0"/>
          <w:bCs w:val="0"/>
          <w:sz w:val="36"/>
          <w:szCs w:val="36"/>
          <w:highlight w:val="none"/>
          <w:lang w:val="en-US" w:eastAsia="zh-CN"/>
        </w:rPr>
        <w:t xml:space="preserve">  </w:t>
      </w:r>
      <w:r>
        <w:rPr>
          <w:rFonts w:hint="eastAsia" w:ascii="方正小标宋简体" w:hAnsi="方正小标宋简体" w:eastAsia="方正小标宋简体" w:cs="方正小标宋简体"/>
          <w:b w:val="0"/>
          <w:bCs w:val="0"/>
          <w:sz w:val="36"/>
          <w:szCs w:val="36"/>
          <w:highlight w:val="none"/>
        </w:rPr>
        <w:t>预算公开联系方式及信息反馈渠道</w:t>
      </w:r>
      <w:bookmarkEnd w:id="3"/>
    </w:p>
    <w:p>
      <w:pPr>
        <w:snapToGrid w:val="0"/>
        <w:spacing w:line="600" w:lineRule="exact"/>
        <w:rPr>
          <w:rFonts w:ascii="方正小标宋简体" w:hAnsi="方正小标宋简体" w:eastAsia="方正小标宋简体" w:cs="方正小标宋简体"/>
          <w:sz w:val="36"/>
          <w:szCs w:val="36"/>
          <w:highlight w:val="none"/>
        </w:rPr>
      </w:pPr>
    </w:p>
    <w:p>
      <w:pPr>
        <w:snapToGrid w:val="0"/>
        <w:spacing w:line="60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本单位预算公开信息反馈和联系方式：</w:t>
      </w:r>
    </w:p>
    <w:p>
      <w:pPr>
        <w:snapToGrid w:val="0"/>
        <w:spacing w:line="600" w:lineRule="exact"/>
        <w:ind w:firstLine="640" w:firstLineChars="200"/>
        <w:rPr>
          <w:rFonts w:hint="default" w:ascii="仿宋_GB2312" w:hAnsi="仿宋_GB2312" w:eastAsia="仿宋_GB2312" w:cs="仿宋_GB2312"/>
          <w:sz w:val="32"/>
          <w:szCs w:val="32"/>
          <w:highlight w:val="none"/>
          <w:lang w:val="en-US" w:eastAsia="zh-CN"/>
        </w:rPr>
        <w:sectPr>
          <w:pgSz w:w="11910" w:h="16840"/>
          <w:pgMar w:top="1580" w:right="1630" w:bottom="280" w:left="1240" w:header="720" w:footer="720" w:gutter="0"/>
          <w:pgNumType w:fmt="numberInDash"/>
          <w:cols w:space="720" w:num="1"/>
        </w:sectPr>
      </w:pPr>
      <w:r>
        <w:rPr>
          <w:rFonts w:hint="eastAsia" w:ascii="仿宋_GB2312" w:hAnsi="仿宋_GB2312" w:eastAsia="仿宋_GB2312" w:cs="仿宋_GB2312"/>
          <w:sz w:val="32"/>
          <w:szCs w:val="32"/>
          <w:highlight w:val="none"/>
        </w:rPr>
        <w:t>联系人：</w:t>
      </w:r>
      <w:r>
        <w:rPr>
          <w:rFonts w:hint="eastAsia" w:ascii="仿宋_GB2312" w:hAnsi="仿宋_GB2312" w:eastAsia="仿宋_GB2312" w:cs="仿宋_GB2312"/>
          <w:sz w:val="32"/>
          <w:szCs w:val="32"/>
          <w:highlight w:val="none"/>
          <w:lang w:val="en-US" w:eastAsia="zh-CN"/>
        </w:rPr>
        <w:t>魏婕</w:t>
      </w:r>
      <w:r>
        <w:rPr>
          <w:rFonts w:hint="eastAsia" w:ascii="仿宋_GB2312" w:hAnsi="仿宋_GB2312" w:eastAsia="仿宋_GB2312" w:cs="仿宋_GB2312"/>
          <w:sz w:val="32"/>
          <w:szCs w:val="32"/>
          <w:highlight w:val="none"/>
        </w:rPr>
        <w:t xml:space="preserve">               联系电话：</w:t>
      </w:r>
      <w:r>
        <w:rPr>
          <w:rFonts w:hint="eastAsia" w:ascii="仿宋_GB2312" w:hAnsi="仿宋_GB2312" w:eastAsia="仿宋_GB2312" w:cs="仿宋_GB2312"/>
          <w:sz w:val="32"/>
          <w:szCs w:val="32"/>
          <w:highlight w:val="none"/>
          <w:lang w:val="en-US" w:eastAsia="zh-CN"/>
        </w:rPr>
        <w:t>4963378</w:t>
      </w:r>
    </w:p>
    <w:p>
      <w:pPr>
        <w:pStyle w:val="3"/>
        <w:tabs>
          <w:tab w:val="left" w:pos="4392"/>
        </w:tabs>
        <w:adjustRightInd/>
        <w:snapToGrid/>
        <w:spacing w:before="0" w:after="0" w:line="600" w:lineRule="exact"/>
        <w:ind w:firstLine="0" w:firstLineChars="0"/>
        <w:jc w:val="center"/>
        <w:rPr>
          <w:rFonts w:ascii="方正小标宋简体" w:hAnsi="方正小标宋简体" w:eastAsia="方正小标宋简体" w:cs="方正小标宋简体"/>
          <w:sz w:val="36"/>
          <w:szCs w:val="36"/>
          <w:highlight w:val="none"/>
        </w:rPr>
      </w:pPr>
      <w:bookmarkStart w:id="4" w:name="_Toc2232"/>
      <w:r>
        <w:rPr>
          <w:rFonts w:hint="eastAsia" w:ascii="方正小标宋简体" w:hAnsi="方正小标宋简体" w:eastAsia="方正小标宋简体" w:cs="方正小标宋简体"/>
          <w:b w:val="0"/>
          <w:bCs w:val="0"/>
          <w:sz w:val="36"/>
          <w:szCs w:val="36"/>
          <w:highlight w:val="none"/>
        </w:rPr>
        <w:t xml:space="preserve">第五部分  </w:t>
      </w:r>
      <w:r>
        <w:rPr>
          <w:rFonts w:hint="eastAsia" w:ascii="方正小标宋简体" w:hAnsi="方正小标宋简体" w:eastAsia="方正小标宋简体" w:cs="方正小标宋简体"/>
          <w:b w:val="0"/>
          <w:bCs w:val="0"/>
          <w:sz w:val="36"/>
          <w:szCs w:val="36"/>
          <w:highlight w:val="none"/>
          <w:lang w:val="en-US" w:eastAsia="zh-CN"/>
        </w:rPr>
        <w:t>2025</w:t>
      </w:r>
      <w:r>
        <w:rPr>
          <w:rFonts w:hint="eastAsia" w:ascii="方正小标宋简体" w:hAnsi="方正小标宋简体" w:eastAsia="方正小标宋简体" w:cs="方正小标宋简体"/>
          <w:b w:val="0"/>
          <w:bCs w:val="0"/>
          <w:sz w:val="36"/>
          <w:szCs w:val="36"/>
          <w:highlight w:val="none"/>
        </w:rPr>
        <w:t>年度</w:t>
      </w:r>
      <w:r>
        <w:rPr>
          <w:rFonts w:hint="eastAsia" w:ascii="方正小标宋简体" w:hAnsi="方正小标宋简体" w:eastAsia="方正小标宋简体" w:cs="方正小标宋简体"/>
          <w:b w:val="0"/>
          <w:bCs w:val="0"/>
          <w:sz w:val="36"/>
          <w:szCs w:val="36"/>
          <w:highlight w:val="none"/>
          <w:lang w:val="en-US" w:eastAsia="zh-CN"/>
        </w:rPr>
        <w:t>内蒙古自治区医疗管理事务服务中心</w:t>
      </w:r>
      <w:r>
        <w:rPr>
          <w:rFonts w:hint="eastAsia" w:ascii="方正小标宋简体" w:hAnsi="方正小标宋简体" w:eastAsia="方正小标宋简体" w:cs="方正小标宋简体"/>
          <w:b w:val="0"/>
          <w:bCs w:val="0"/>
          <w:sz w:val="36"/>
          <w:szCs w:val="36"/>
          <w:highlight w:val="none"/>
        </w:rPr>
        <w:t>预算表</w:t>
      </w:r>
      <w:bookmarkEnd w:id="4"/>
    </w:p>
    <w:p>
      <w:pPr>
        <w:pStyle w:val="10"/>
        <w:spacing w:after="0" w:line="600" w:lineRule="exact"/>
        <w:ind w:firstLine="460"/>
        <w:rPr>
          <w:sz w:val="23"/>
          <w:highlight w:val="none"/>
        </w:rPr>
      </w:pPr>
    </w:p>
    <w:p>
      <w:pPr>
        <w:spacing w:line="600" w:lineRule="exact"/>
        <w:ind w:firstLine="640" w:firstLineChars="200"/>
        <w:rPr>
          <w:rFonts w:hint="eastAsia" w:eastAsia="仿宋_GB2312" w:cstheme="minorBidi"/>
          <w:sz w:val="32"/>
          <w:szCs w:val="32"/>
          <w:highlight w:val="none"/>
        </w:rPr>
      </w:pPr>
      <w:r>
        <w:rPr>
          <w:rFonts w:hint="eastAsia" w:eastAsia="仿宋_GB2312" w:cstheme="minorBidi"/>
          <w:sz w:val="32"/>
          <w:szCs w:val="32"/>
          <w:highlight w:val="none"/>
        </w:rPr>
        <w:t>附表：202</w:t>
      </w:r>
      <w:r>
        <w:rPr>
          <w:rFonts w:hint="eastAsia" w:eastAsia="仿宋_GB2312" w:cstheme="minorBidi"/>
          <w:sz w:val="32"/>
          <w:szCs w:val="32"/>
          <w:highlight w:val="none"/>
          <w:lang w:val="en-US" w:eastAsia="zh-CN"/>
        </w:rPr>
        <w:t>5</w:t>
      </w:r>
      <w:r>
        <w:rPr>
          <w:rFonts w:hint="eastAsia" w:eastAsia="仿宋_GB2312" w:cstheme="minorBidi"/>
          <w:sz w:val="32"/>
          <w:szCs w:val="32"/>
          <w:highlight w:val="none"/>
        </w:rPr>
        <w:t>年</w:t>
      </w:r>
      <w:r>
        <w:rPr>
          <w:rFonts w:hint="eastAsia" w:eastAsia="仿宋_GB2312" w:cstheme="minorBidi"/>
          <w:sz w:val="32"/>
          <w:szCs w:val="32"/>
          <w:highlight w:val="none"/>
          <w:lang w:val="en-US" w:eastAsia="zh-CN"/>
        </w:rPr>
        <w:t>度</w:t>
      </w:r>
      <w:r>
        <w:rPr>
          <w:rFonts w:hint="eastAsia" w:eastAsia="仿宋_GB2312" w:cstheme="minorBidi"/>
          <w:sz w:val="32"/>
          <w:szCs w:val="32"/>
          <w:highlight w:val="none"/>
        </w:rPr>
        <w:t>内蒙古自治区</w:t>
      </w:r>
      <w:r>
        <w:rPr>
          <w:rFonts w:hint="eastAsia" w:eastAsia="仿宋_GB2312" w:cstheme="minorBidi"/>
          <w:sz w:val="32"/>
          <w:szCs w:val="32"/>
          <w:highlight w:val="none"/>
          <w:lang w:val="en-US" w:eastAsia="zh-CN"/>
        </w:rPr>
        <w:t>医疗管理事务服务</w:t>
      </w:r>
      <w:r>
        <w:rPr>
          <w:rFonts w:hint="eastAsia" w:eastAsia="仿宋_GB2312" w:cstheme="minorBidi"/>
          <w:sz w:val="32"/>
          <w:szCs w:val="32"/>
          <w:highlight w:val="none"/>
        </w:rPr>
        <w:t>中心预算公开表</w:t>
      </w:r>
    </w:p>
    <w:p>
      <w:pPr>
        <w:pStyle w:val="14"/>
        <w:ind w:left="0" w:leftChars="0" w:firstLine="0"/>
        <w:rPr>
          <w:rFonts w:hint="default"/>
          <w:highlight w:val="none"/>
        </w:rPr>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3225DFC-F5B1-451B-A7F8-E4BEDD804F5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embedRegular r:id="rId2" w:fontKey="{3D06F1BE-A8E8-413A-B515-1E48EE4BCFCF}"/>
  </w:font>
  <w:font w:name="Arial">
    <w:panose1 w:val="020B0604020202020204"/>
    <w:charset w:val="01"/>
    <w:family w:val="decorative"/>
    <w:pitch w:val="default"/>
    <w:sig w:usb0="E0002AFF" w:usb1="C0007843" w:usb2="00000009" w:usb3="00000000" w:csb0="400001FF" w:csb1="FFFF0000"/>
    <w:embedRegular r:id="rId3" w:fontKey="{AB6C7F23-EC9E-4BCE-8591-F3E317D99ED4}"/>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embedRegular r:id="rId4" w:fontKey="{E41091FE-56C7-4C0A-BBC1-E24FC71D6958}"/>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swiss"/>
    <w:pitch w:val="default"/>
    <w:sig w:usb0="00000001" w:usb1="080E0000" w:usb2="00000000" w:usb3="00000000" w:csb0="00040000" w:csb1="00000000"/>
    <w:embedRegular r:id="rId5" w:fontKey="{80B19873-4A3F-4B03-BF1B-2B417D788BD4}"/>
  </w:font>
  <w:font w:name="等线">
    <w:panose1 w:val="02010600030101010101"/>
    <w:charset w:val="86"/>
    <w:family w:val="auto"/>
    <w:pitch w:val="default"/>
    <w:sig w:usb0="A00002BF" w:usb1="38CF7CFA" w:usb2="00000016" w:usb3="00000000" w:csb0="0004000F" w:csb1="00000000"/>
  </w:font>
  <w:font w:name="Helvetica">
    <w:panose1 w:val="020B0604020202020204"/>
    <w:charset w:val="00"/>
    <w:family w:val="decorative"/>
    <w:pitch w:val="default"/>
    <w:sig w:usb0="00000000" w:usb1="00000000" w:usb2="00000000" w:usb3="00000000" w:csb0="00000000" w:csb1="00000000"/>
  </w:font>
  <w:font w:name="Courier">
    <w:panose1 w:val="02060409020205020404"/>
    <w:charset w:val="00"/>
    <w:family w:val="swiss"/>
    <w:pitch w:val="default"/>
    <w:sig w:usb0="00000000" w:usb1="00000000" w:usb2="00000000" w:usb3="00000000" w:csb0="00000000" w:csb1="00000000"/>
  </w:font>
  <w:font w:name="Tms Rmn">
    <w:altName w:val="Segoe Print"/>
    <w:panose1 w:val="02020603040505020304"/>
    <w:charset w:val="00"/>
    <w:family w:val="moder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Helv">
    <w:altName w:val="Segoe Print"/>
    <w:panose1 w:val="020B0604020202030204"/>
    <w:charset w:val="00"/>
    <w:family w:val="decorative"/>
    <w:pitch w:val="default"/>
    <w:sig w:usb0="00000000" w:usb1="00000000" w:usb2="00000000" w:usb3="00000000" w:csb0="00000001" w:csb1="00000000"/>
  </w:font>
  <w:font w:name="New York">
    <w:panose1 w:val="02020502060305060204"/>
    <w:charset w:val="00"/>
    <w:family w:val="modern"/>
    <w:pitch w:val="default"/>
    <w:sig w:usb0="00000000" w:usb1="00000000" w:usb2="00000000" w:usb3="00000000" w:csb0="00000000" w:csb1="00000000"/>
  </w:font>
  <w:font w:name="Arial Unicode MS">
    <w:altName w:val="宋体"/>
    <w:panose1 w:val="020B0604020202020204"/>
    <w:charset w:val="86"/>
    <w:family w:val="decorative"/>
    <w:pitch w:val="default"/>
    <w:sig w:usb0="00000000" w:usb1="00000000" w:usb2="0000003F" w:usb3="00000000" w:csb0="603F01FF" w:csb1="FFFF0000"/>
  </w:font>
  <w:font w:name="方正大标宋简体">
    <w:altName w:val="微软雅黑"/>
    <w:panose1 w:val="02000000000000000000"/>
    <w:charset w:val="86"/>
    <w:family w:val="auto"/>
    <w:pitch w:val="default"/>
    <w:sig w:usb0="00000000" w:usb1="00000000" w:usb2="00000012" w:usb3="00000000" w:csb0="00040001" w:csb1="00000000"/>
  </w:font>
  <w:font w:name="Times New Roman (正文 CS 字体)">
    <w:altName w:val="宋体"/>
    <w:panose1 w:val="00000000000000000000"/>
    <w:charset w:val="86"/>
    <w:family w:val="modern"/>
    <w:pitch w:val="default"/>
    <w:sig w:usb0="00000000" w:usb1="00000000" w:usb2="00000000" w:usb3="00000000" w:csb0="00000000" w:csb1="00000000"/>
  </w:font>
  <w:font w:name="仿宋">
    <w:panose1 w:val="02010609060101010101"/>
    <w:charset w:val="86"/>
    <w:family w:val="swiss"/>
    <w:pitch w:val="default"/>
    <w:sig w:usb0="800002BF" w:usb1="38CF7CFA" w:usb2="00000016" w:usb3="00000000" w:csb0="00040001" w:csb1="00000000"/>
    <w:embedRegular r:id="rId6" w:fontKey="{1027190B-6FC7-4B0E-B71F-3FDEF3EBAFDE}"/>
  </w:font>
  <w:font w:name="方正小标宋简体">
    <w:panose1 w:val="03000509000000000000"/>
    <w:charset w:val="86"/>
    <w:family w:val="auto"/>
    <w:pitch w:val="default"/>
    <w:sig w:usb0="00000001" w:usb1="080E0000" w:usb2="00000000" w:usb3="00000000" w:csb0="00040000" w:csb1="00000000"/>
    <w:embedRegular r:id="rId7" w:fontKey="{D9CADBD2-F32A-4E0D-A7F9-684800795D76}"/>
  </w:font>
  <w:font w:name="楷体">
    <w:panose1 w:val="02010609060101010101"/>
    <w:charset w:val="86"/>
    <w:family w:val="swiss"/>
    <w:pitch w:val="default"/>
    <w:sig w:usb0="800002BF" w:usb1="38CF7CFA" w:usb2="00000016" w:usb3="00000000" w:csb0="00040001" w:csb1="00000000"/>
    <w:embedRegular r:id="rId8" w:fontKey="{0C2D3BE1-4F9C-461E-BADA-5C36F520FA58}"/>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swiss"/>
    <w:pitch w:val="default"/>
    <w:sig w:usb0="00000001" w:usb1="080E0000" w:usb2="00000000" w:usb3="00000000" w:csb0="00040000" w:csb1="00000000"/>
    <w:embedRegular r:id="rId9" w:fontKey="{4471BE05-B88C-4BBB-AA62-D27D1DAFFA68}"/>
  </w:font>
  <w:font w:name="方正楷体简体">
    <w:altName w:val="楷体_GB2312"/>
    <w:panose1 w:val="02000000000000000000"/>
    <w:charset w:val="86"/>
    <w:family w:val="auto"/>
    <w:pitch w:val="default"/>
    <w:sig w:usb0="00000000" w:usb1="00000000" w:usb2="00000012" w:usb3="00000000" w:csb0="00040001" w:csb1="00000000"/>
  </w:font>
  <w:font w:name="方正仿宋_GB2312">
    <w:altName w:val="仿宋"/>
    <w:panose1 w:val="00000000000000000000"/>
    <w:charset w:val="86"/>
    <w:family w:val="auto"/>
    <w:pitch w:val="default"/>
    <w:sig w:usb0="00000000" w:usb1="00000000" w:usb2="00000012" w:usb3="00000000" w:csb0="00040001" w:csb1="00000000"/>
    <w:embedRegular r:id="rId10" w:fontKey="{F1FBC5A3-B660-4465-863C-7FCC3F014219}"/>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decorative"/>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Meiryo">
    <w:panose1 w:val="020B0604030504040204"/>
    <w:charset w:val="80"/>
    <w:family w:val="auto"/>
    <w:pitch w:val="default"/>
    <w:sig w:usb0="E10102FF" w:usb1="EAC7FFFF" w:usb2="00010012" w:usb3="00000000" w:csb0="6002009F" w:csb1="DFD70000"/>
  </w:font>
  <w:font w:name="PMingLiU-ExtB">
    <w:panose1 w:val="02020500000000000000"/>
    <w:charset w:val="88"/>
    <w:family w:val="auto"/>
    <w:pitch w:val="default"/>
    <w:sig w:usb0="8000002F" w:usb1="02000008" w:usb2="00000000" w:usb3="00000000" w:csb0="00100001" w:csb1="00000000"/>
  </w:font>
  <w:font w:name="SimSun-ExtB">
    <w:panose1 w:val="02010609060101010101"/>
    <w:charset w:val="86"/>
    <w:family w:val="auto"/>
    <w:pitch w:val="default"/>
    <w:sig w:usb0="00000001" w:usb1="02000000" w:usb2="00000000" w:usb3="00000000" w:csb0="00040001" w:csb1="00000000"/>
  </w:font>
  <w:font w:name="Algerian">
    <w:panose1 w:val="04020705040A02060702"/>
    <w:charset w:val="00"/>
    <w:family w:val="auto"/>
    <w:pitch w:val="default"/>
    <w:sig w:usb0="00000003" w:usb1="00000000" w:usb2="00000000" w:usb3="00000000" w:csb0="20000001" w:csb1="00000000"/>
  </w:font>
  <w:font w:name="Hoefler Text Ornaments">
    <w:panose1 w:val="05010101010101010100"/>
    <w:charset w:val="00"/>
    <w:family w:val="auto"/>
    <w:pitch w:val="default"/>
    <w:sig w:usb0="00000000" w:usb1="00000000" w:usb2="00000000" w:usb3="00000000" w:csb0="00000000" w:csb1="00000000"/>
  </w:font>
  <w:font w:name="Arial">
    <w:panose1 w:val="020B0604020202020204"/>
    <w:charset w:val="00"/>
    <w:family w:val="decorative"/>
    <w:pitch w:val="default"/>
    <w:sig w:usb0="E0002AFF" w:usb1="C0007843" w:usb2="00000009" w:usb3="00000000" w:csb0="400001FF" w:csb1="FFFF0000"/>
  </w:font>
  <w:font w:name="黑体">
    <w:panose1 w:val="02010609060101010101"/>
    <w:charset w:val="86"/>
    <w:family w:val="swiss"/>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00000" w:csb1="00000000"/>
  </w:font>
  <w:font w:name="times_new_roman">
    <w:altName w:val="Segoe Print"/>
    <w:panose1 w:val="00000000000000000000"/>
    <w:charset w:val="00"/>
    <w:family w:val="auto"/>
    <w:pitch w:val="default"/>
    <w:sig w:usb0="00000000" w:usb1="00000000" w:usb2="00000000" w:usb3="00000000" w:csb0="00000000" w:csb1="00000000"/>
  </w:font>
  <w:font w:name="fang_zheng_xiao_biao_song_ti">
    <w:altName w:val="Segoe Print"/>
    <w:panose1 w:val="00000000000000000000"/>
    <w:charset w:val="00"/>
    <w:family w:val="auto"/>
    <w:pitch w:val="default"/>
    <w:sig w:usb0="00000000" w:usb1="00000000" w:usb2="00000000" w:usb3="00000000" w:csb0="00000000" w:csb1="00000000"/>
  </w:font>
  <w:font w:name="kai_ti_gb2312">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roman"/>
    <w:pitch w:val="default"/>
    <w:sig w:usb0="E0002AFF" w:usb1="C0007843" w:usb2="00000009" w:usb3="00000000" w:csb0="400001FF" w:csb1="FFFF0000"/>
  </w:font>
  <w:font w:name="黑体">
    <w:panose1 w:val="02010609060101010101"/>
    <w:charset w:val="86"/>
    <w:family w:val="decorative"/>
    <w:pitch w:val="default"/>
    <w:sig w:usb0="800002BF" w:usb1="38CF7CFA" w:usb2="00000016" w:usb3="00000000" w:csb0="00040001" w:csb1="00000000"/>
  </w:font>
  <w:font w:name="Arial">
    <w:panose1 w:val="020B0604020202020204"/>
    <w:charset w:val="00"/>
    <w:family w:val="modern"/>
    <w:pitch w:val="default"/>
    <w:sig w:usb0="E0002AFF" w:usb1="C0007843" w:usb2="00000009" w:usb3="00000000" w:csb0="400001FF" w:csb1="FFFF0000"/>
  </w:font>
  <w:font w:name="黑体">
    <w:panose1 w:val="02010609060101010101"/>
    <w:charset w:val="86"/>
    <w:family w:val="roma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黑体">
    <w:panose1 w:val="02010609060101010101"/>
    <w:charset w:val="86"/>
    <w:family w:val="modern"/>
    <w:pitch w:val="default"/>
    <w:sig w:usb0="800002BF" w:usb1="38CF7CFA" w:usb2="00000016" w:usb3="00000000" w:csb0="00040001" w:csb1="00000000"/>
  </w:font>
  <w:font w:name="Helvetica Neue">
    <w:altName w:val="Helvetica"/>
    <w:panose1 w:val="02000503000000020004"/>
    <w:charset w:val="00"/>
    <w:family w:val="auto"/>
    <w:pitch w:val="default"/>
    <w:sig w:usb0="00000000" w:usb1="00000000" w:usb2="00000000" w:usb3="00000000" w:csb0="00000000" w:csb1="00000000"/>
  </w:font>
  <w:font w:name="汉仪书宋二KW">
    <w:altName w:val="宋体"/>
    <w:panose1 w:val="00020600040101010101"/>
    <w:charset w:val="86"/>
    <w:family w:val="auto"/>
    <w:pitch w:val="default"/>
    <w:sig w:usb0="00000000" w:usb1="00000000" w:usb2="00000000" w:usb3="00000000" w:csb0="00160000" w:csb1="00000000"/>
  </w:font>
  <w:font w:name="方正仿宋_GBK">
    <w:altName w:val="微软雅黑"/>
    <w:panose1 w:val="02000000000000000000"/>
    <w:charset w:val="86"/>
    <w:family w:val="auto"/>
    <w:pitch w:val="default"/>
    <w:sig w:usb0="00000000" w:usb1="00000000" w:usb2="00000000" w:usb3="00000000" w:csb0="00160000" w:csb1="00000000"/>
  </w:font>
  <w:font w:name="方正小标宋简体">
    <w:panose1 w:val="03000509000000000000"/>
    <w:charset w:val="86"/>
    <w:family w:val="decorative"/>
    <w:pitch w:val="default"/>
    <w:sig w:usb0="00000001" w:usb1="080E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苹方-简">
    <w:altName w:val="宋体"/>
    <w:panose1 w:val="020B0400000000000000"/>
    <w:charset w:val="86"/>
    <w:family w:val="auto"/>
    <w:pitch w:val="default"/>
    <w:sig w:usb0="00000000" w:usb1="00000000" w:usb2="00000000" w:usb3="00000000" w:csb0="00160000" w:csb1="00000000"/>
  </w:font>
  <w:font w:name="PingFang SC">
    <w:altName w:val="宋体"/>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方正小标宋简体">
    <w:panose1 w:val="03000509000000000000"/>
    <w:charset w:val="86"/>
    <w:family w:val="modern"/>
    <w:pitch w:val="default"/>
    <w:sig w:usb0="00000001" w:usb1="080E0000" w:usb2="00000000" w:usb3="00000000" w:csb0="00040000" w:csb1="00000000"/>
  </w:font>
  <w:font w:name="微软雅黑">
    <w:panose1 w:val="020B0503020204020204"/>
    <w:charset w:val="86"/>
    <w:family w:val="modern"/>
    <w:pitch w:val="default"/>
    <w:sig w:usb0="80000287" w:usb1="280F3C52" w:usb2="00000016" w:usb3="00000000" w:csb0="0004001F" w:csb1="00000000"/>
  </w:font>
  <w:font w:name="方正小标宋简体">
    <w:panose1 w:val="03000509000000000000"/>
    <w:charset w:val="86"/>
    <w:family w:val="swiss"/>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roman"/>
    <w:pitch w:val="default"/>
    <w:sig w:usb0="00000001" w:usb1="080E0000" w:usb2="00000000" w:usb3="00000000" w:csb0="00040000" w:csb1="00000000"/>
  </w:font>
  <w:font w:name="微软雅黑">
    <w:panose1 w:val="020B0503020204020204"/>
    <w:charset w:val="86"/>
    <w:family w:val="roman"/>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3"/>
      <w:jc w:val="center"/>
    </w:pPr>
    <w:r>
      <mc:AlternateContent>
        <mc:Choice Requires="wps">
          <w:drawing>
            <wp:anchor distT="0" distB="0" distL="114300" distR="114300" simplePos="0" relativeHeight="251660288" behindDoc="0" locked="0" layoutInCell="1" allowOverlap="1">
              <wp:simplePos x="0" y="0"/>
              <wp:positionH relativeFrom="margin">
                <wp:posOffset>2600960</wp:posOffset>
              </wp:positionH>
              <wp:positionV relativeFrom="paragraph">
                <wp:posOffset>17780</wp:posOffset>
              </wp:positionV>
              <wp:extent cx="795655" cy="3517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795655" cy="3517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- 4 -</w:t>
                          </w:r>
                          <w:r>
                            <w:rPr>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4.8pt;margin-top:1.4pt;height:27.7pt;width:62.65pt;mso-position-horizontal-relative:margin;z-index:251660288;mso-width-relative:page;mso-height-relative:page;" filled="f" stroked="f" coordsize="21600,21600" o:gfxdata="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Cl7rLtcAAAAIAQAADwAAAAAA&#10;AAABACAAAAAiAAAAZHJzL2Rvd25yZXYueG1sUEsBAhQAFAAAAAgAh07iQJ1LfXEUAgAABwQAAA4A&#10;AAAAAAAAAQAgAAAAJgEAAGRycy9lMm9Eb2MueG1sUEsFBgAAAAAGAAYAWQEAAKwFAAAAAA==&#10;">
              <v:fill on="f" focussize="0,0"/>
              <v:stroke on="f" weight="0.5pt"/>
              <v:imagedata o:title=""/>
              <o:lock v:ext="edit" aspectratio="f"/>
              <v:textbox inset="0mm,0mm,0mm,0mm">
                <w:txbxContent>
                  <w:p>
                    <w:pPr>
                      <w:pStyle w:val="1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- 4 -</w:t>
                    </w:r>
                    <w:r>
                      <w:rPr>
                        <w:sz w:val="24"/>
                        <w:szCs w:val="24"/>
                      </w:rPr>
                      <w:fldChar w:fldCharType="end"/>
                    </w:r>
                  </w:p>
                </w:txbxContent>
              </v:textbox>
            </v:shape>
          </w:pict>
        </mc:Fallback>
      </mc:AlternateContent>
    </w: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1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795655" cy="351790"/>
              <wp:effectExtent l="0" t="0" r="0" b="0"/>
              <wp:wrapNone/>
              <wp:docPr id="5" name="文本框 5"/>
              <wp:cNvGraphicFramePr/>
              <a:graphic xmlns:a="http://schemas.openxmlformats.org/drawingml/2006/main">
                <a:graphicData uri="http://schemas.microsoft.com/office/word/2010/wordprocessingShape">
                  <wps:wsp>
                    <wps:cNvSpPr txBox="1"/>
                    <wps:spPr>
                      <a:xfrm>
                        <a:off x="0" y="0"/>
                        <a:ext cx="795655" cy="35179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- 58 -</w:t>
                          </w:r>
                          <w:r>
                            <w:rPr>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7.7pt;width:62.65pt;mso-position-horizontal:center;mso-position-horizontal-relative:margin;z-index:251659264;mso-width-relative:page;mso-height-relative:page;" filled="f" stroked="f" coordsize="21600,21600" o:gfxdata="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cOl2fUAAAABAEAAA8AAAAAAAAA&#10;AQAgAAAAIgAAAGRycy9kb3ducmV2LnhtbFBLAQIUABQAAAAIAIdO4kC+/6s9FQIAAAcEAAAOAAAA&#10;AAAAAAEAIAAAACMBAABkcnMvZTJvRG9jLnhtbFBLBQYAAAAABgAGAFkBAACqBQAAAAA=&#10;">
              <v:fill on="f" focussize="0,0"/>
              <v:stroke on="f" weight="0.5pt"/>
              <v:imagedata o:title=""/>
              <o:lock v:ext="edit" aspectratio="f"/>
              <v:textbox inset="0mm,0mm,0mm,0mm">
                <w:txbxContent>
                  <w:p>
                    <w:pPr>
                      <w:pStyle w:val="1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- 58 -</w:t>
                    </w:r>
                    <w:r>
                      <w:rPr>
                        <w:sz w:val="24"/>
                        <w:szCs w:val="24"/>
                      </w:rPr>
                      <w:fldChar w:fldCharType="end"/>
                    </w:r>
                  </w:p>
                </w:txbxContent>
              </v:textbox>
            </v:shape>
          </w:pict>
        </mc:Fallback>
      </mc:AlternateContent>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ind w:left="6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845526979">
    <w:nsid w:val="3265B7C3"/>
    <w:multiLevelType w:val="singleLevel"/>
    <w:tmpl w:val="3265B7C3"/>
    <w:lvl w:ilvl="0" w:tentative="1">
      <w:start w:val="1"/>
      <w:numFmt w:val="chineseCounting"/>
      <w:suff w:val="nothing"/>
      <w:lvlText w:val="%1、"/>
      <w:lvlJc w:val="left"/>
      <w:rPr>
        <w:rFonts w:hint="eastAsia"/>
      </w:rPr>
    </w:lvl>
  </w:abstractNum>
  <w:num w:numId="1">
    <w:abstractNumId w:val="84552697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yZTZiOWNhNTRkM2JiNDQwZWRmZDZjZTIwNDhiY2IifQ=="/>
  </w:docVars>
  <w:rsids>
    <w:rsidRoot w:val="00172A27"/>
    <w:rsid w:val="00000CBF"/>
    <w:rsid w:val="000034CD"/>
    <w:rsid w:val="00003B87"/>
    <w:rsid w:val="000106AF"/>
    <w:rsid w:val="00010F09"/>
    <w:rsid w:val="00010F57"/>
    <w:rsid w:val="00014729"/>
    <w:rsid w:val="000168E2"/>
    <w:rsid w:val="00016E30"/>
    <w:rsid w:val="0001778D"/>
    <w:rsid w:val="00023930"/>
    <w:rsid w:val="0002537D"/>
    <w:rsid w:val="000267C9"/>
    <w:rsid w:val="000316D6"/>
    <w:rsid w:val="00034C3D"/>
    <w:rsid w:val="00035935"/>
    <w:rsid w:val="00035BD9"/>
    <w:rsid w:val="00037650"/>
    <w:rsid w:val="000408B3"/>
    <w:rsid w:val="000409C6"/>
    <w:rsid w:val="00040A7B"/>
    <w:rsid w:val="0004437D"/>
    <w:rsid w:val="00044D5A"/>
    <w:rsid w:val="00047F92"/>
    <w:rsid w:val="000517C8"/>
    <w:rsid w:val="00052722"/>
    <w:rsid w:val="00052AB3"/>
    <w:rsid w:val="000530B5"/>
    <w:rsid w:val="000547DF"/>
    <w:rsid w:val="00056E21"/>
    <w:rsid w:val="00063642"/>
    <w:rsid w:val="00065474"/>
    <w:rsid w:val="00071596"/>
    <w:rsid w:val="00073EED"/>
    <w:rsid w:val="00080B1C"/>
    <w:rsid w:val="00082025"/>
    <w:rsid w:val="000843F5"/>
    <w:rsid w:val="00084B87"/>
    <w:rsid w:val="00084C61"/>
    <w:rsid w:val="00084EE5"/>
    <w:rsid w:val="00085C93"/>
    <w:rsid w:val="00087A5E"/>
    <w:rsid w:val="00090945"/>
    <w:rsid w:val="00094212"/>
    <w:rsid w:val="00094289"/>
    <w:rsid w:val="00094579"/>
    <w:rsid w:val="0009486F"/>
    <w:rsid w:val="00097AD5"/>
    <w:rsid w:val="00097E70"/>
    <w:rsid w:val="000A3463"/>
    <w:rsid w:val="000A3CBA"/>
    <w:rsid w:val="000B179A"/>
    <w:rsid w:val="000B19DD"/>
    <w:rsid w:val="000B271C"/>
    <w:rsid w:val="000B3090"/>
    <w:rsid w:val="000B395D"/>
    <w:rsid w:val="000B4C87"/>
    <w:rsid w:val="000B5E2F"/>
    <w:rsid w:val="000B75C9"/>
    <w:rsid w:val="000C2547"/>
    <w:rsid w:val="000C2657"/>
    <w:rsid w:val="000C3B4A"/>
    <w:rsid w:val="000C7570"/>
    <w:rsid w:val="000D1A18"/>
    <w:rsid w:val="000D4710"/>
    <w:rsid w:val="000E093A"/>
    <w:rsid w:val="000E597B"/>
    <w:rsid w:val="000E63BF"/>
    <w:rsid w:val="000F0BD4"/>
    <w:rsid w:val="000F344F"/>
    <w:rsid w:val="000F6C2D"/>
    <w:rsid w:val="000F7468"/>
    <w:rsid w:val="000F746A"/>
    <w:rsid w:val="00102140"/>
    <w:rsid w:val="00106E16"/>
    <w:rsid w:val="001114EC"/>
    <w:rsid w:val="00112A96"/>
    <w:rsid w:val="001133DF"/>
    <w:rsid w:val="00114F9E"/>
    <w:rsid w:val="001151B8"/>
    <w:rsid w:val="00122854"/>
    <w:rsid w:val="00122B22"/>
    <w:rsid w:val="00123EEA"/>
    <w:rsid w:val="00126508"/>
    <w:rsid w:val="001329DF"/>
    <w:rsid w:val="001342A7"/>
    <w:rsid w:val="00142E3E"/>
    <w:rsid w:val="001432CD"/>
    <w:rsid w:val="0014381D"/>
    <w:rsid w:val="0014464F"/>
    <w:rsid w:val="00152205"/>
    <w:rsid w:val="00153AFD"/>
    <w:rsid w:val="00155332"/>
    <w:rsid w:val="00155E13"/>
    <w:rsid w:val="00157214"/>
    <w:rsid w:val="001602D6"/>
    <w:rsid w:val="00163244"/>
    <w:rsid w:val="00163F67"/>
    <w:rsid w:val="00172A27"/>
    <w:rsid w:val="001735FD"/>
    <w:rsid w:val="001738CA"/>
    <w:rsid w:val="00175368"/>
    <w:rsid w:val="001802D6"/>
    <w:rsid w:val="00183BED"/>
    <w:rsid w:val="00191536"/>
    <w:rsid w:val="00193879"/>
    <w:rsid w:val="001940E1"/>
    <w:rsid w:val="00196BA0"/>
    <w:rsid w:val="0019719A"/>
    <w:rsid w:val="001A02B5"/>
    <w:rsid w:val="001A1BDF"/>
    <w:rsid w:val="001A2F89"/>
    <w:rsid w:val="001A3158"/>
    <w:rsid w:val="001A3CE2"/>
    <w:rsid w:val="001A5241"/>
    <w:rsid w:val="001B012D"/>
    <w:rsid w:val="001B0DDF"/>
    <w:rsid w:val="001B1449"/>
    <w:rsid w:val="001B3621"/>
    <w:rsid w:val="001B4457"/>
    <w:rsid w:val="001B5368"/>
    <w:rsid w:val="001B5886"/>
    <w:rsid w:val="001B5EC9"/>
    <w:rsid w:val="001B7FCD"/>
    <w:rsid w:val="001C0CDF"/>
    <w:rsid w:val="001C4010"/>
    <w:rsid w:val="001C6BF1"/>
    <w:rsid w:val="001D3C7E"/>
    <w:rsid w:val="001D6D0B"/>
    <w:rsid w:val="001D7958"/>
    <w:rsid w:val="001E0433"/>
    <w:rsid w:val="001E3429"/>
    <w:rsid w:val="001E68D8"/>
    <w:rsid w:val="001E76DB"/>
    <w:rsid w:val="001F4C1E"/>
    <w:rsid w:val="001F6B7A"/>
    <w:rsid w:val="00200204"/>
    <w:rsid w:val="002015D3"/>
    <w:rsid w:val="002039F1"/>
    <w:rsid w:val="002044DF"/>
    <w:rsid w:val="002049F7"/>
    <w:rsid w:val="0021312E"/>
    <w:rsid w:val="0021383F"/>
    <w:rsid w:val="00214BEE"/>
    <w:rsid w:val="0021585B"/>
    <w:rsid w:val="0021600A"/>
    <w:rsid w:val="0021726C"/>
    <w:rsid w:val="00217770"/>
    <w:rsid w:val="00220C2A"/>
    <w:rsid w:val="00221E65"/>
    <w:rsid w:val="002240B1"/>
    <w:rsid w:val="0022415F"/>
    <w:rsid w:val="00224835"/>
    <w:rsid w:val="00224F3D"/>
    <w:rsid w:val="00225C23"/>
    <w:rsid w:val="00233D9B"/>
    <w:rsid w:val="00236FA6"/>
    <w:rsid w:val="00240094"/>
    <w:rsid w:val="00241B6B"/>
    <w:rsid w:val="002431E6"/>
    <w:rsid w:val="0024416D"/>
    <w:rsid w:val="00244B90"/>
    <w:rsid w:val="00245FFD"/>
    <w:rsid w:val="0025052F"/>
    <w:rsid w:val="0025133B"/>
    <w:rsid w:val="002519F2"/>
    <w:rsid w:val="00251E52"/>
    <w:rsid w:val="00252024"/>
    <w:rsid w:val="00252295"/>
    <w:rsid w:val="002604EC"/>
    <w:rsid w:val="0026390E"/>
    <w:rsid w:val="00266811"/>
    <w:rsid w:val="002670EA"/>
    <w:rsid w:val="00270D49"/>
    <w:rsid w:val="002742F8"/>
    <w:rsid w:val="002748BD"/>
    <w:rsid w:val="00274A4D"/>
    <w:rsid w:val="00274E33"/>
    <w:rsid w:val="00286355"/>
    <w:rsid w:val="00286B1A"/>
    <w:rsid w:val="00287D92"/>
    <w:rsid w:val="00290958"/>
    <w:rsid w:val="00291FC4"/>
    <w:rsid w:val="002926AE"/>
    <w:rsid w:val="00293A42"/>
    <w:rsid w:val="00293F3B"/>
    <w:rsid w:val="00294D1F"/>
    <w:rsid w:val="002A25F0"/>
    <w:rsid w:val="002A38DC"/>
    <w:rsid w:val="002A3F94"/>
    <w:rsid w:val="002A4CC2"/>
    <w:rsid w:val="002B0E96"/>
    <w:rsid w:val="002B21CC"/>
    <w:rsid w:val="002B3658"/>
    <w:rsid w:val="002B37C5"/>
    <w:rsid w:val="002B7E88"/>
    <w:rsid w:val="002D028A"/>
    <w:rsid w:val="002D27EE"/>
    <w:rsid w:val="002D2D64"/>
    <w:rsid w:val="002D3180"/>
    <w:rsid w:val="002D4EA7"/>
    <w:rsid w:val="002D6124"/>
    <w:rsid w:val="002D6167"/>
    <w:rsid w:val="002D70B8"/>
    <w:rsid w:val="002D7791"/>
    <w:rsid w:val="002D7AEB"/>
    <w:rsid w:val="002D7FE5"/>
    <w:rsid w:val="002F0AEA"/>
    <w:rsid w:val="002F0CEB"/>
    <w:rsid w:val="002F1022"/>
    <w:rsid w:val="002F2712"/>
    <w:rsid w:val="002F73C2"/>
    <w:rsid w:val="002F7AA1"/>
    <w:rsid w:val="0030209D"/>
    <w:rsid w:val="00304A27"/>
    <w:rsid w:val="0030703E"/>
    <w:rsid w:val="00307477"/>
    <w:rsid w:val="003115CC"/>
    <w:rsid w:val="00313750"/>
    <w:rsid w:val="00316EA0"/>
    <w:rsid w:val="00321A3C"/>
    <w:rsid w:val="0033160F"/>
    <w:rsid w:val="00331DB0"/>
    <w:rsid w:val="003337F4"/>
    <w:rsid w:val="00335EEB"/>
    <w:rsid w:val="00337D32"/>
    <w:rsid w:val="003406D1"/>
    <w:rsid w:val="0034673B"/>
    <w:rsid w:val="00351751"/>
    <w:rsid w:val="00351CBC"/>
    <w:rsid w:val="00352172"/>
    <w:rsid w:val="00355342"/>
    <w:rsid w:val="00356692"/>
    <w:rsid w:val="00356F2E"/>
    <w:rsid w:val="003575C9"/>
    <w:rsid w:val="0036025D"/>
    <w:rsid w:val="00361339"/>
    <w:rsid w:val="003617B4"/>
    <w:rsid w:val="003631E0"/>
    <w:rsid w:val="003655C7"/>
    <w:rsid w:val="003666F6"/>
    <w:rsid w:val="00367F5C"/>
    <w:rsid w:val="00367FEB"/>
    <w:rsid w:val="00370C21"/>
    <w:rsid w:val="0037119D"/>
    <w:rsid w:val="00371460"/>
    <w:rsid w:val="00371E38"/>
    <w:rsid w:val="00374C99"/>
    <w:rsid w:val="00374EC2"/>
    <w:rsid w:val="00375717"/>
    <w:rsid w:val="00377F83"/>
    <w:rsid w:val="00385C9F"/>
    <w:rsid w:val="00385D9C"/>
    <w:rsid w:val="00386A78"/>
    <w:rsid w:val="00387B4F"/>
    <w:rsid w:val="00387FDC"/>
    <w:rsid w:val="003900E4"/>
    <w:rsid w:val="003908AD"/>
    <w:rsid w:val="003944BB"/>
    <w:rsid w:val="003945B5"/>
    <w:rsid w:val="00394D62"/>
    <w:rsid w:val="00395D0B"/>
    <w:rsid w:val="00397362"/>
    <w:rsid w:val="003A003A"/>
    <w:rsid w:val="003A1185"/>
    <w:rsid w:val="003A3E3C"/>
    <w:rsid w:val="003A3F4A"/>
    <w:rsid w:val="003A4972"/>
    <w:rsid w:val="003B4A14"/>
    <w:rsid w:val="003B5570"/>
    <w:rsid w:val="003B77B6"/>
    <w:rsid w:val="003C31AB"/>
    <w:rsid w:val="003C35CD"/>
    <w:rsid w:val="003C43EA"/>
    <w:rsid w:val="003C4F65"/>
    <w:rsid w:val="003C53D2"/>
    <w:rsid w:val="003C7866"/>
    <w:rsid w:val="003D0971"/>
    <w:rsid w:val="003D3C90"/>
    <w:rsid w:val="003D5CBF"/>
    <w:rsid w:val="003E02C3"/>
    <w:rsid w:val="003E18C9"/>
    <w:rsid w:val="003F567D"/>
    <w:rsid w:val="003F7782"/>
    <w:rsid w:val="00400588"/>
    <w:rsid w:val="00406AC9"/>
    <w:rsid w:val="0041073B"/>
    <w:rsid w:val="0041167C"/>
    <w:rsid w:val="004138A8"/>
    <w:rsid w:val="0041426C"/>
    <w:rsid w:val="00416FDF"/>
    <w:rsid w:val="00417B37"/>
    <w:rsid w:val="0042054B"/>
    <w:rsid w:val="00420D95"/>
    <w:rsid w:val="004253B8"/>
    <w:rsid w:val="00425ED7"/>
    <w:rsid w:val="00426740"/>
    <w:rsid w:val="00427C2F"/>
    <w:rsid w:val="0043128C"/>
    <w:rsid w:val="00434D44"/>
    <w:rsid w:val="0044228B"/>
    <w:rsid w:val="00442688"/>
    <w:rsid w:val="00442AED"/>
    <w:rsid w:val="00442D5D"/>
    <w:rsid w:val="00444B82"/>
    <w:rsid w:val="004459F0"/>
    <w:rsid w:val="00454633"/>
    <w:rsid w:val="00454737"/>
    <w:rsid w:val="00455BF8"/>
    <w:rsid w:val="00456DB3"/>
    <w:rsid w:val="00456EAD"/>
    <w:rsid w:val="004604FE"/>
    <w:rsid w:val="004611A8"/>
    <w:rsid w:val="00467117"/>
    <w:rsid w:val="00467D70"/>
    <w:rsid w:val="00467DC5"/>
    <w:rsid w:val="004702DB"/>
    <w:rsid w:val="00470C8E"/>
    <w:rsid w:val="00473D33"/>
    <w:rsid w:val="004769DB"/>
    <w:rsid w:val="00481EB5"/>
    <w:rsid w:val="00482B89"/>
    <w:rsid w:val="004833E7"/>
    <w:rsid w:val="00483401"/>
    <w:rsid w:val="00491B17"/>
    <w:rsid w:val="004931F8"/>
    <w:rsid w:val="00494023"/>
    <w:rsid w:val="004967F7"/>
    <w:rsid w:val="00497241"/>
    <w:rsid w:val="004A1F81"/>
    <w:rsid w:val="004A20B6"/>
    <w:rsid w:val="004A2789"/>
    <w:rsid w:val="004A2DF3"/>
    <w:rsid w:val="004A2FCA"/>
    <w:rsid w:val="004A3875"/>
    <w:rsid w:val="004A7AF4"/>
    <w:rsid w:val="004B048E"/>
    <w:rsid w:val="004B143B"/>
    <w:rsid w:val="004B174D"/>
    <w:rsid w:val="004B5933"/>
    <w:rsid w:val="004C500C"/>
    <w:rsid w:val="004C5FFC"/>
    <w:rsid w:val="004C74F7"/>
    <w:rsid w:val="004D1253"/>
    <w:rsid w:val="004D158E"/>
    <w:rsid w:val="004D2861"/>
    <w:rsid w:val="004D5666"/>
    <w:rsid w:val="004D6BB1"/>
    <w:rsid w:val="004D7A03"/>
    <w:rsid w:val="004D7DBF"/>
    <w:rsid w:val="004E0454"/>
    <w:rsid w:val="004E06ED"/>
    <w:rsid w:val="004E1457"/>
    <w:rsid w:val="004E4A43"/>
    <w:rsid w:val="004E4BBF"/>
    <w:rsid w:val="004F2CDD"/>
    <w:rsid w:val="004F4D87"/>
    <w:rsid w:val="004F55CD"/>
    <w:rsid w:val="004F58A0"/>
    <w:rsid w:val="004F5F12"/>
    <w:rsid w:val="004F6692"/>
    <w:rsid w:val="004F77B0"/>
    <w:rsid w:val="00501EEF"/>
    <w:rsid w:val="00502A31"/>
    <w:rsid w:val="00505021"/>
    <w:rsid w:val="00506790"/>
    <w:rsid w:val="00510EFF"/>
    <w:rsid w:val="00511717"/>
    <w:rsid w:val="00511B53"/>
    <w:rsid w:val="005146EE"/>
    <w:rsid w:val="005160E3"/>
    <w:rsid w:val="005161E3"/>
    <w:rsid w:val="00516B40"/>
    <w:rsid w:val="005203F0"/>
    <w:rsid w:val="00521E09"/>
    <w:rsid w:val="00525EB0"/>
    <w:rsid w:val="00535551"/>
    <w:rsid w:val="0053664B"/>
    <w:rsid w:val="00540718"/>
    <w:rsid w:val="00540B71"/>
    <w:rsid w:val="00541F46"/>
    <w:rsid w:val="0054292B"/>
    <w:rsid w:val="005440BF"/>
    <w:rsid w:val="0054661A"/>
    <w:rsid w:val="005510D1"/>
    <w:rsid w:val="00552574"/>
    <w:rsid w:val="00554DCA"/>
    <w:rsid w:val="00556C59"/>
    <w:rsid w:val="00557E0E"/>
    <w:rsid w:val="005604D0"/>
    <w:rsid w:val="005614CC"/>
    <w:rsid w:val="005615F3"/>
    <w:rsid w:val="0056225D"/>
    <w:rsid w:val="00562E92"/>
    <w:rsid w:val="005639FA"/>
    <w:rsid w:val="0056420B"/>
    <w:rsid w:val="00564ABA"/>
    <w:rsid w:val="005653F5"/>
    <w:rsid w:val="00571BB6"/>
    <w:rsid w:val="00572A14"/>
    <w:rsid w:val="0057572A"/>
    <w:rsid w:val="00576A02"/>
    <w:rsid w:val="0058236D"/>
    <w:rsid w:val="00582BA2"/>
    <w:rsid w:val="00583D19"/>
    <w:rsid w:val="0058789A"/>
    <w:rsid w:val="00593F60"/>
    <w:rsid w:val="00594E72"/>
    <w:rsid w:val="00594E89"/>
    <w:rsid w:val="00595732"/>
    <w:rsid w:val="005957A8"/>
    <w:rsid w:val="005A0020"/>
    <w:rsid w:val="005A0592"/>
    <w:rsid w:val="005A09E0"/>
    <w:rsid w:val="005A1BC7"/>
    <w:rsid w:val="005A7383"/>
    <w:rsid w:val="005B155E"/>
    <w:rsid w:val="005B1651"/>
    <w:rsid w:val="005B1D05"/>
    <w:rsid w:val="005B544A"/>
    <w:rsid w:val="005B570B"/>
    <w:rsid w:val="005B5DBA"/>
    <w:rsid w:val="005B5ECD"/>
    <w:rsid w:val="005C5D3B"/>
    <w:rsid w:val="005C773C"/>
    <w:rsid w:val="005D2118"/>
    <w:rsid w:val="005D476C"/>
    <w:rsid w:val="005D5AEF"/>
    <w:rsid w:val="005E031D"/>
    <w:rsid w:val="005E2226"/>
    <w:rsid w:val="005F007E"/>
    <w:rsid w:val="005F22D5"/>
    <w:rsid w:val="005F2659"/>
    <w:rsid w:val="005F3198"/>
    <w:rsid w:val="005F5238"/>
    <w:rsid w:val="005F5B86"/>
    <w:rsid w:val="00603A8C"/>
    <w:rsid w:val="00607135"/>
    <w:rsid w:val="00610D76"/>
    <w:rsid w:val="0061425B"/>
    <w:rsid w:val="00615CCA"/>
    <w:rsid w:val="00616504"/>
    <w:rsid w:val="00616551"/>
    <w:rsid w:val="00617C3C"/>
    <w:rsid w:val="00623384"/>
    <w:rsid w:val="006236AD"/>
    <w:rsid w:val="0063195F"/>
    <w:rsid w:val="00632944"/>
    <w:rsid w:val="006355A9"/>
    <w:rsid w:val="00637A4F"/>
    <w:rsid w:val="00641CD5"/>
    <w:rsid w:val="00642BB6"/>
    <w:rsid w:val="00644031"/>
    <w:rsid w:val="00644FBC"/>
    <w:rsid w:val="00647134"/>
    <w:rsid w:val="00652DB9"/>
    <w:rsid w:val="0065703E"/>
    <w:rsid w:val="006575E7"/>
    <w:rsid w:val="00657673"/>
    <w:rsid w:val="00661E32"/>
    <w:rsid w:val="00662CCA"/>
    <w:rsid w:val="00662EC6"/>
    <w:rsid w:val="00662F26"/>
    <w:rsid w:val="00665B56"/>
    <w:rsid w:val="006720DF"/>
    <w:rsid w:val="00672743"/>
    <w:rsid w:val="00681E9C"/>
    <w:rsid w:val="00682B2E"/>
    <w:rsid w:val="00683341"/>
    <w:rsid w:val="006853C1"/>
    <w:rsid w:val="0068695A"/>
    <w:rsid w:val="00686C54"/>
    <w:rsid w:val="00687D34"/>
    <w:rsid w:val="00691B56"/>
    <w:rsid w:val="00691CC7"/>
    <w:rsid w:val="00691D88"/>
    <w:rsid w:val="00691EC8"/>
    <w:rsid w:val="00693C36"/>
    <w:rsid w:val="0069508B"/>
    <w:rsid w:val="00695904"/>
    <w:rsid w:val="006966EC"/>
    <w:rsid w:val="0069730F"/>
    <w:rsid w:val="00697930"/>
    <w:rsid w:val="006A0A1B"/>
    <w:rsid w:val="006A1B40"/>
    <w:rsid w:val="006A29F4"/>
    <w:rsid w:val="006A33FD"/>
    <w:rsid w:val="006A4D49"/>
    <w:rsid w:val="006A5098"/>
    <w:rsid w:val="006A623D"/>
    <w:rsid w:val="006B1149"/>
    <w:rsid w:val="006B1F4E"/>
    <w:rsid w:val="006B35D8"/>
    <w:rsid w:val="006B5EC7"/>
    <w:rsid w:val="006B6C41"/>
    <w:rsid w:val="006C0F17"/>
    <w:rsid w:val="006C3341"/>
    <w:rsid w:val="006C3359"/>
    <w:rsid w:val="006C4A23"/>
    <w:rsid w:val="006C5697"/>
    <w:rsid w:val="006C6FF2"/>
    <w:rsid w:val="006C79FA"/>
    <w:rsid w:val="006C7ECE"/>
    <w:rsid w:val="006D10E1"/>
    <w:rsid w:val="006D3BB4"/>
    <w:rsid w:val="006D4EAB"/>
    <w:rsid w:val="006F04BC"/>
    <w:rsid w:val="006F520F"/>
    <w:rsid w:val="00700A16"/>
    <w:rsid w:val="00701E0C"/>
    <w:rsid w:val="0070236E"/>
    <w:rsid w:val="00702E1F"/>
    <w:rsid w:val="00705D96"/>
    <w:rsid w:val="00706BD6"/>
    <w:rsid w:val="00710B15"/>
    <w:rsid w:val="00710DBC"/>
    <w:rsid w:val="00710F2F"/>
    <w:rsid w:val="00711981"/>
    <w:rsid w:val="00712513"/>
    <w:rsid w:val="00714FCB"/>
    <w:rsid w:val="00716714"/>
    <w:rsid w:val="00717855"/>
    <w:rsid w:val="007208BC"/>
    <w:rsid w:val="007223AD"/>
    <w:rsid w:val="0072313B"/>
    <w:rsid w:val="0073016A"/>
    <w:rsid w:val="007319CE"/>
    <w:rsid w:val="0073502E"/>
    <w:rsid w:val="00735453"/>
    <w:rsid w:val="0074153A"/>
    <w:rsid w:val="00741A58"/>
    <w:rsid w:val="007438FA"/>
    <w:rsid w:val="007444F9"/>
    <w:rsid w:val="00745662"/>
    <w:rsid w:val="00746BB0"/>
    <w:rsid w:val="007500F5"/>
    <w:rsid w:val="00751B12"/>
    <w:rsid w:val="007525B4"/>
    <w:rsid w:val="0075361E"/>
    <w:rsid w:val="00755B39"/>
    <w:rsid w:val="00756505"/>
    <w:rsid w:val="007602DD"/>
    <w:rsid w:val="00760CD7"/>
    <w:rsid w:val="0076688E"/>
    <w:rsid w:val="007720CC"/>
    <w:rsid w:val="0077226B"/>
    <w:rsid w:val="00773DB6"/>
    <w:rsid w:val="0077514A"/>
    <w:rsid w:val="00781279"/>
    <w:rsid w:val="00783AFE"/>
    <w:rsid w:val="007904FF"/>
    <w:rsid w:val="007925EB"/>
    <w:rsid w:val="00796798"/>
    <w:rsid w:val="00797B28"/>
    <w:rsid w:val="007A038A"/>
    <w:rsid w:val="007A1E1B"/>
    <w:rsid w:val="007A23C5"/>
    <w:rsid w:val="007A3D48"/>
    <w:rsid w:val="007A5961"/>
    <w:rsid w:val="007A62AF"/>
    <w:rsid w:val="007A6303"/>
    <w:rsid w:val="007A73B9"/>
    <w:rsid w:val="007B0811"/>
    <w:rsid w:val="007B12CC"/>
    <w:rsid w:val="007B31EB"/>
    <w:rsid w:val="007B425E"/>
    <w:rsid w:val="007C1D53"/>
    <w:rsid w:val="007C22F2"/>
    <w:rsid w:val="007C4FA1"/>
    <w:rsid w:val="007D2F2B"/>
    <w:rsid w:val="007D48A4"/>
    <w:rsid w:val="007D719A"/>
    <w:rsid w:val="007E11AF"/>
    <w:rsid w:val="007E36AC"/>
    <w:rsid w:val="007E4B97"/>
    <w:rsid w:val="007E5353"/>
    <w:rsid w:val="007E55B7"/>
    <w:rsid w:val="007E6392"/>
    <w:rsid w:val="007F42D9"/>
    <w:rsid w:val="007F5799"/>
    <w:rsid w:val="007F5BF8"/>
    <w:rsid w:val="007F7B66"/>
    <w:rsid w:val="00801DE2"/>
    <w:rsid w:val="00802AAD"/>
    <w:rsid w:val="008038C9"/>
    <w:rsid w:val="0080646E"/>
    <w:rsid w:val="00806C2A"/>
    <w:rsid w:val="008077DA"/>
    <w:rsid w:val="008153A1"/>
    <w:rsid w:val="00825BFE"/>
    <w:rsid w:val="00825C8F"/>
    <w:rsid w:val="00826B5E"/>
    <w:rsid w:val="00831380"/>
    <w:rsid w:val="00831843"/>
    <w:rsid w:val="00832D6F"/>
    <w:rsid w:val="008330BB"/>
    <w:rsid w:val="00833CAD"/>
    <w:rsid w:val="008406FC"/>
    <w:rsid w:val="00840AA3"/>
    <w:rsid w:val="008410E6"/>
    <w:rsid w:val="00841318"/>
    <w:rsid w:val="00841E77"/>
    <w:rsid w:val="008421E5"/>
    <w:rsid w:val="00845E45"/>
    <w:rsid w:val="008512E3"/>
    <w:rsid w:val="00851C1E"/>
    <w:rsid w:val="00853166"/>
    <w:rsid w:val="008545A3"/>
    <w:rsid w:val="00856CD9"/>
    <w:rsid w:val="00862F0E"/>
    <w:rsid w:val="00863E6B"/>
    <w:rsid w:val="008655F8"/>
    <w:rsid w:val="00867DAD"/>
    <w:rsid w:val="00867EAE"/>
    <w:rsid w:val="00870A99"/>
    <w:rsid w:val="00871458"/>
    <w:rsid w:val="00872CB6"/>
    <w:rsid w:val="00874F21"/>
    <w:rsid w:val="00882D02"/>
    <w:rsid w:val="00883213"/>
    <w:rsid w:val="00884A1B"/>
    <w:rsid w:val="008923A4"/>
    <w:rsid w:val="008927E0"/>
    <w:rsid w:val="00893556"/>
    <w:rsid w:val="00893B88"/>
    <w:rsid w:val="008953C4"/>
    <w:rsid w:val="008A02F3"/>
    <w:rsid w:val="008A4193"/>
    <w:rsid w:val="008A4440"/>
    <w:rsid w:val="008A58B3"/>
    <w:rsid w:val="008B024E"/>
    <w:rsid w:val="008B14E4"/>
    <w:rsid w:val="008B2C45"/>
    <w:rsid w:val="008B4190"/>
    <w:rsid w:val="008C0361"/>
    <w:rsid w:val="008C2670"/>
    <w:rsid w:val="008C6831"/>
    <w:rsid w:val="008C736D"/>
    <w:rsid w:val="008D30DD"/>
    <w:rsid w:val="008D35B6"/>
    <w:rsid w:val="008D5D5A"/>
    <w:rsid w:val="008D63C9"/>
    <w:rsid w:val="008D77B0"/>
    <w:rsid w:val="008E06A1"/>
    <w:rsid w:val="008E1673"/>
    <w:rsid w:val="008E6D68"/>
    <w:rsid w:val="008F4555"/>
    <w:rsid w:val="00900431"/>
    <w:rsid w:val="00902193"/>
    <w:rsid w:val="0090328C"/>
    <w:rsid w:val="00910123"/>
    <w:rsid w:val="00912961"/>
    <w:rsid w:val="00913386"/>
    <w:rsid w:val="00913F71"/>
    <w:rsid w:val="00914563"/>
    <w:rsid w:val="00916D35"/>
    <w:rsid w:val="00921822"/>
    <w:rsid w:val="00921960"/>
    <w:rsid w:val="0092196F"/>
    <w:rsid w:val="00923F6C"/>
    <w:rsid w:val="00925D28"/>
    <w:rsid w:val="00927B48"/>
    <w:rsid w:val="00931166"/>
    <w:rsid w:val="0093340A"/>
    <w:rsid w:val="00933955"/>
    <w:rsid w:val="00935A11"/>
    <w:rsid w:val="00936518"/>
    <w:rsid w:val="00937032"/>
    <w:rsid w:val="00937C98"/>
    <w:rsid w:val="0094258F"/>
    <w:rsid w:val="0094661D"/>
    <w:rsid w:val="0095122D"/>
    <w:rsid w:val="00952194"/>
    <w:rsid w:val="00955087"/>
    <w:rsid w:val="0095730F"/>
    <w:rsid w:val="0096060D"/>
    <w:rsid w:val="00961C95"/>
    <w:rsid w:val="00962A5F"/>
    <w:rsid w:val="00963B0B"/>
    <w:rsid w:val="0096467C"/>
    <w:rsid w:val="00965969"/>
    <w:rsid w:val="00965DB7"/>
    <w:rsid w:val="009667C2"/>
    <w:rsid w:val="00967F39"/>
    <w:rsid w:val="00970038"/>
    <w:rsid w:val="00971D84"/>
    <w:rsid w:val="0097237D"/>
    <w:rsid w:val="009740A2"/>
    <w:rsid w:val="00976F17"/>
    <w:rsid w:val="00981972"/>
    <w:rsid w:val="0098245F"/>
    <w:rsid w:val="009855CA"/>
    <w:rsid w:val="00990F07"/>
    <w:rsid w:val="009932D0"/>
    <w:rsid w:val="00996DA3"/>
    <w:rsid w:val="009B0A61"/>
    <w:rsid w:val="009B109A"/>
    <w:rsid w:val="009B4531"/>
    <w:rsid w:val="009B5F75"/>
    <w:rsid w:val="009B6519"/>
    <w:rsid w:val="009B6C65"/>
    <w:rsid w:val="009B7836"/>
    <w:rsid w:val="009C164A"/>
    <w:rsid w:val="009D0A18"/>
    <w:rsid w:val="009D17E4"/>
    <w:rsid w:val="009D5A93"/>
    <w:rsid w:val="009D5BA5"/>
    <w:rsid w:val="009D64E2"/>
    <w:rsid w:val="009D6BF5"/>
    <w:rsid w:val="009E0276"/>
    <w:rsid w:val="009E25B6"/>
    <w:rsid w:val="009E2A29"/>
    <w:rsid w:val="009E5F33"/>
    <w:rsid w:val="009E6791"/>
    <w:rsid w:val="009E7510"/>
    <w:rsid w:val="009F02C1"/>
    <w:rsid w:val="009F0BD2"/>
    <w:rsid w:val="009F1452"/>
    <w:rsid w:val="009F1BF8"/>
    <w:rsid w:val="009F1C9C"/>
    <w:rsid w:val="009F250C"/>
    <w:rsid w:val="009F275E"/>
    <w:rsid w:val="009F434C"/>
    <w:rsid w:val="009F7D34"/>
    <w:rsid w:val="00A00E7B"/>
    <w:rsid w:val="00A02520"/>
    <w:rsid w:val="00A02BAA"/>
    <w:rsid w:val="00A107BD"/>
    <w:rsid w:val="00A10D56"/>
    <w:rsid w:val="00A1218E"/>
    <w:rsid w:val="00A12C39"/>
    <w:rsid w:val="00A13A13"/>
    <w:rsid w:val="00A15326"/>
    <w:rsid w:val="00A16CEC"/>
    <w:rsid w:val="00A26C91"/>
    <w:rsid w:val="00A26E9C"/>
    <w:rsid w:val="00A318E2"/>
    <w:rsid w:val="00A33F58"/>
    <w:rsid w:val="00A36055"/>
    <w:rsid w:val="00A40BC8"/>
    <w:rsid w:val="00A4369D"/>
    <w:rsid w:val="00A43B19"/>
    <w:rsid w:val="00A4472E"/>
    <w:rsid w:val="00A46D31"/>
    <w:rsid w:val="00A47EA4"/>
    <w:rsid w:val="00A503E5"/>
    <w:rsid w:val="00A509FD"/>
    <w:rsid w:val="00A53F03"/>
    <w:rsid w:val="00A53FF0"/>
    <w:rsid w:val="00A54456"/>
    <w:rsid w:val="00A5471E"/>
    <w:rsid w:val="00A551D7"/>
    <w:rsid w:val="00A55B27"/>
    <w:rsid w:val="00A55BDA"/>
    <w:rsid w:val="00A60C43"/>
    <w:rsid w:val="00A64596"/>
    <w:rsid w:val="00A67BE2"/>
    <w:rsid w:val="00A74820"/>
    <w:rsid w:val="00A76E41"/>
    <w:rsid w:val="00A776BC"/>
    <w:rsid w:val="00A8105F"/>
    <w:rsid w:val="00A81465"/>
    <w:rsid w:val="00A833A7"/>
    <w:rsid w:val="00A86AB0"/>
    <w:rsid w:val="00A87262"/>
    <w:rsid w:val="00A90F79"/>
    <w:rsid w:val="00A93929"/>
    <w:rsid w:val="00A9509B"/>
    <w:rsid w:val="00A963E4"/>
    <w:rsid w:val="00A97C90"/>
    <w:rsid w:val="00AA15A6"/>
    <w:rsid w:val="00AA182F"/>
    <w:rsid w:val="00AA3F58"/>
    <w:rsid w:val="00AA4870"/>
    <w:rsid w:val="00AA6B5D"/>
    <w:rsid w:val="00AB1D83"/>
    <w:rsid w:val="00AB5668"/>
    <w:rsid w:val="00AB587E"/>
    <w:rsid w:val="00AB6697"/>
    <w:rsid w:val="00AC0CA3"/>
    <w:rsid w:val="00AC24D8"/>
    <w:rsid w:val="00AC2F0E"/>
    <w:rsid w:val="00AC6B22"/>
    <w:rsid w:val="00AD13AD"/>
    <w:rsid w:val="00AE08D3"/>
    <w:rsid w:val="00AE225B"/>
    <w:rsid w:val="00AE46A4"/>
    <w:rsid w:val="00AE535D"/>
    <w:rsid w:val="00AE69CE"/>
    <w:rsid w:val="00AF08E9"/>
    <w:rsid w:val="00AF0B26"/>
    <w:rsid w:val="00AF2165"/>
    <w:rsid w:val="00AF6826"/>
    <w:rsid w:val="00B00877"/>
    <w:rsid w:val="00B02697"/>
    <w:rsid w:val="00B0719C"/>
    <w:rsid w:val="00B14CC8"/>
    <w:rsid w:val="00B17240"/>
    <w:rsid w:val="00B234C1"/>
    <w:rsid w:val="00B248CE"/>
    <w:rsid w:val="00B24E37"/>
    <w:rsid w:val="00B25020"/>
    <w:rsid w:val="00B256C8"/>
    <w:rsid w:val="00B256F6"/>
    <w:rsid w:val="00B272EE"/>
    <w:rsid w:val="00B302A1"/>
    <w:rsid w:val="00B31FCC"/>
    <w:rsid w:val="00B3557A"/>
    <w:rsid w:val="00B3740D"/>
    <w:rsid w:val="00B3776F"/>
    <w:rsid w:val="00B418AB"/>
    <w:rsid w:val="00B41ACE"/>
    <w:rsid w:val="00B4291F"/>
    <w:rsid w:val="00B42B7C"/>
    <w:rsid w:val="00B42F55"/>
    <w:rsid w:val="00B46CA3"/>
    <w:rsid w:val="00B5591E"/>
    <w:rsid w:val="00B565C7"/>
    <w:rsid w:val="00B56F47"/>
    <w:rsid w:val="00B608C5"/>
    <w:rsid w:val="00B61CEF"/>
    <w:rsid w:val="00B657D7"/>
    <w:rsid w:val="00B659E9"/>
    <w:rsid w:val="00B677D1"/>
    <w:rsid w:val="00B7130A"/>
    <w:rsid w:val="00B71CA8"/>
    <w:rsid w:val="00B753C1"/>
    <w:rsid w:val="00B82CCF"/>
    <w:rsid w:val="00B83052"/>
    <w:rsid w:val="00B8677C"/>
    <w:rsid w:val="00B90FC3"/>
    <w:rsid w:val="00B92387"/>
    <w:rsid w:val="00B9395A"/>
    <w:rsid w:val="00B93A38"/>
    <w:rsid w:val="00B95280"/>
    <w:rsid w:val="00B9638C"/>
    <w:rsid w:val="00BA5133"/>
    <w:rsid w:val="00BA5885"/>
    <w:rsid w:val="00BA59F6"/>
    <w:rsid w:val="00BA6774"/>
    <w:rsid w:val="00BB0763"/>
    <w:rsid w:val="00BB0E01"/>
    <w:rsid w:val="00BB1CB2"/>
    <w:rsid w:val="00BB21F1"/>
    <w:rsid w:val="00BB4264"/>
    <w:rsid w:val="00BB4B2D"/>
    <w:rsid w:val="00BB6099"/>
    <w:rsid w:val="00BB6BDE"/>
    <w:rsid w:val="00BB702A"/>
    <w:rsid w:val="00BC0FBE"/>
    <w:rsid w:val="00BC1D98"/>
    <w:rsid w:val="00BC3F50"/>
    <w:rsid w:val="00BD324F"/>
    <w:rsid w:val="00BD3603"/>
    <w:rsid w:val="00BD702A"/>
    <w:rsid w:val="00BE0161"/>
    <w:rsid w:val="00BE1766"/>
    <w:rsid w:val="00BE3275"/>
    <w:rsid w:val="00BE36C6"/>
    <w:rsid w:val="00BE5F84"/>
    <w:rsid w:val="00BF0DFB"/>
    <w:rsid w:val="00BF14CF"/>
    <w:rsid w:val="00BF48F2"/>
    <w:rsid w:val="00BF648F"/>
    <w:rsid w:val="00C00A12"/>
    <w:rsid w:val="00C01354"/>
    <w:rsid w:val="00C02E08"/>
    <w:rsid w:val="00C04FEC"/>
    <w:rsid w:val="00C05052"/>
    <w:rsid w:val="00C0544C"/>
    <w:rsid w:val="00C064AA"/>
    <w:rsid w:val="00C10643"/>
    <w:rsid w:val="00C15609"/>
    <w:rsid w:val="00C16EAB"/>
    <w:rsid w:val="00C23757"/>
    <w:rsid w:val="00C2432E"/>
    <w:rsid w:val="00C25332"/>
    <w:rsid w:val="00C25933"/>
    <w:rsid w:val="00C27C2B"/>
    <w:rsid w:val="00C32F04"/>
    <w:rsid w:val="00C3318C"/>
    <w:rsid w:val="00C34F6D"/>
    <w:rsid w:val="00C3720A"/>
    <w:rsid w:val="00C41DCA"/>
    <w:rsid w:val="00C45720"/>
    <w:rsid w:val="00C51934"/>
    <w:rsid w:val="00C549B2"/>
    <w:rsid w:val="00C55715"/>
    <w:rsid w:val="00C56FA8"/>
    <w:rsid w:val="00C61C00"/>
    <w:rsid w:val="00C62802"/>
    <w:rsid w:val="00C6346F"/>
    <w:rsid w:val="00C73DB2"/>
    <w:rsid w:val="00C75067"/>
    <w:rsid w:val="00C802CF"/>
    <w:rsid w:val="00C830BD"/>
    <w:rsid w:val="00C84E19"/>
    <w:rsid w:val="00C85194"/>
    <w:rsid w:val="00C95F53"/>
    <w:rsid w:val="00C97F3E"/>
    <w:rsid w:val="00CA00FB"/>
    <w:rsid w:val="00CA0715"/>
    <w:rsid w:val="00CA11BC"/>
    <w:rsid w:val="00CA1CD2"/>
    <w:rsid w:val="00CA39D0"/>
    <w:rsid w:val="00CA48E6"/>
    <w:rsid w:val="00CA4E7E"/>
    <w:rsid w:val="00CA67C6"/>
    <w:rsid w:val="00CB14B8"/>
    <w:rsid w:val="00CB262F"/>
    <w:rsid w:val="00CB39DC"/>
    <w:rsid w:val="00CB4939"/>
    <w:rsid w:val="00CB5977"/>
    <w:rsid w:val="00CB5E07"/>
    <w:rsid w:val="00CB5FDB"/>
    <w:rsid w:val="00CC36CA"/>
    <w:rsid w:val="00CC6EF3"/>
    <w:rsid w:val="00CC7A2E"/>
    <w:rsid w:val="00CC7AEB"/>
    <w:rsid w:val="00CD27CB"/>
    <w:rsid w:val="00CD478B"/>
    <w:rsid w:val="00CD6BE5"/>
    <w:rsid w:val="00CD77F5"/>
    <w:rsid w:val="00CD7CD7"/>
    <w:rsid w:val="00CD7DD7"/>
    <w:rsid w:val="00CE0245"/>
    <w:rsid w:val="00CE47BF"/>
    <w:rsid w:val="00CE76D0"/>
    <w:rsid w:val="00CF43D3"/>
    <w:rsid w:val="00CF4997"/>
    <w:rsid w:val="00CF7256"/>
    <w:rsid w:val="00CF75BB"/>
    <w:rsid w:val="00D03579"/>
    <w:rsid w:val="00D04FCE"/>
    <w:rsid w:val="00D11D9E"/>
    <w:rsid w:val="00D13247"/>
    <w:rsid w:val="00D1341B"/>
    <w:rsid w:val="00D13E31"/>
    <w:rsid w:val="00D16614"/>
    <w:rsid w:val="00D2127E"/>
    <w:rsid w:val="00D228D1"/>
    <w:rsid w:val="00D22DFA"/>
    <w:rsid w:val="00D24B8C"/>
    <w:rsid w:val="00D26AA8"/>
    <w:rsid w:val="00D27019"/>
    <w:rsid w:val="00D315DA"/>
    <w:rsid w:val="00D3317F"/>
    <w:rsid w:val="00D360BE"/>
    <w:rsid w:val="00D40BC5"/>
    <w:rsid w:val="00D40F06"/>
    <w:rsid w:val="00D44057"/>
    <w:rsid w:val="00D44B67"/>
    <w:rsid w:val="00D44E81"/>
    <w:rsid w:val="00D4599E"/>
    <w:rsid w:val="00D47576"/>
    <w:rsid w:val="00D479E8"/>
    <w:rsid w:val="00D542F2"/>
    <w:rsid w:val="00D5493C"/>
    <w:rsid w:val="00D56F9B"/>
    <w:rsid w:val="00D61162"/>
    <w:rsid w:val="00D61BD1"/>
    <w:rsid w:val="00D631BE"/>
    <w:rsid w:val="00D635C4"/>
    <w:rsid w:val="00D65D0C"/>
    <w:rsid w:val="00D66AE2"/>
    <w:rsid w:val="00D66B0F"/>
    <w:rsid w:val="00D671EA"/>
    <w:rsid w:val="00D72C3B"/>
    <w:rsid w:val="00D74180"/>
    <w:rsid w:val="00D744B4"/>
    <w:rsid w:val="00D7549F"/>
    <w:rsid w:val="00D77416"/>
    <w:rsid w:val="00D774D4"/>
    <w:rsid w:val="00D7757D"/>
    <w:rsid w:val="00D8023F"/>
    <w:rsid w:val="00D80950"/>
    <w:rsid w:val="00D8348B"/>
    <w:rsid w:val="00D868F2"/>
    <w:rsid w:val="00D86FDE"/>
    <w:rsid w:val="00D8757C"/>
    <w:rsid w:val="00D908D3"/>
    <w:rsid w:val="00D90C19"/>
    <w:rsid w:val="00D91C36"/>
    <w:rsid w:val="00D94AE6"/>
    <w:rsid w:val="00D94BB9"/>
    <w:rsid w:val="00D95048"/>
    <w:rsid w:val="00DA1AE4"/>
    <w:rsid w:val="00DA283C"/>
    <w:rsid w:val="00DA437B"/>
    <w:rsid w:val="00DA78D7"/>
    <w:rsid w:val="00DB0831"/>
    <w:rsid w:val="00DB1859"/>
    <w:rsid w:val="00DB1D37"/>
    <w:rsid w:val="00DB3A56"/>
    <w:rsid w:val="00DB6FE7"/>
    <w:rsid w:val="00DC1D00"/>
    <w:rsid w:val="00DC2A9F"/>
    <w:rsid w:val="00DC552D"/>
    <w:rsid w:val="00DC7B47"/>
    <w:rsid w:val="00DD1A5C"/>
    <w:rsid w:val="00DD1F41"/>
    <w:rsid w:val="00DD34E5"/>
    <w:rsid w:val="00DD3639"/>
    <w:rsid w:val="00DD4360"/>
    <w:rsid w:val="00DD6DD7"/>
    <w:rsid w:val="00DD6FD2"/>
    <w:rsid w:val="00DE1373"/>
    <w:rsid w:val="00DE21B5"/>
    <w:rsid w:val="00DE2EF0"/>
    <w:rsid w:val="00DE5A74"/>
    <w:rsid w:val="00DF0EBB"/>
    <w:rsid w:val="00DF22C3"/>
    <w:rsid w:val="00DF298C"/>
    <w:rsid w:val="00DF40A0"/>
    <w:rsid w:val="00DF4135"/>
    <w:rsid w:val="00DF5A45"/>
    <w:rsid w:val="00DF6369"/>
    <w:rsid w:val="00DF693A"/>
    <w:rsid w:val="00E0259E"/>
    <w:rsid w:val="00E0287C"/>
    <w:rsid w:val="00E0318A"/>
    <w:rsid w:val="00E04CC3"/>
    <w:rsid w:val="00E1000C"/>
    <w:rsid w:val="00E10BFF"/>
    <w:rsid w:val="00E1186D"/>
    <w:rsid w:val="00E1484A"/>
    <w:rsid w:val="00E152C9"/>
    <w:rsid w:val="00E2020D"/>
    <w:rsid w:val="00E21A06"/>
    <w:rsid w:val="00E2576F"/>
    <w:rsid w:val="00E30197"/>
    <w:rsid w:val="00E30704"/>
    <w:rsid w:val="00E30B21"/>
    <w:rsid w:val="00E344E1"/>
    <w:rsid w:val="00E34784"/>
    <w:rsid w:val="00E42B97"/>
    <w:rsid w:val="00E46AF8"/>
    <w:rsid w:val="00E5409A"/>
    <w:rsid w:val="00E5458F"/>
    <w:rsid w:val="00E61333"/>
    <w:rsid w:val="00E6159D"/>
    <w:rsid w:val="00E62805"/>
    <w:rsid w:val="00E67AB7"/>
    <w:rsid w:val="00E743FC"/>
    <w:rsid w:val="00E760DC"/>
    <w:rsid w:val="00E772BA"/>
    <w:rsid w:val="00E80BCE"/>
    <w:rsid w:val="00E80EFF"/>
    <w:rsid w:val="00E81CF1"/>
    <w:rsid w:val="00E82532"/>
    <w:rsid w:val="00E855FA"/>
    <w:rsid w:val="00E85BD7"/>
    <w:rsid w:val="00E85F4F"/>
    <w:rsid w:val="00E87612"/>
    <w:rsid w:val="00E905AE"/>
    <w:rsid w:val="00E92ACD"/>
    <w:rsid w:val="00E974A2"/>
    <w:rsid w:val="00EA0415"/>
    <w:rsid w:val="00EA5AB5"/>
    <w:rsid w:val="00EA5D6A"/>
    <w:rsid w:val="00EA6950"/>
    <w:rsid w:val="00EB57E9"/>
    <w:rsid w:val="00EC05E9"/>
    <w:rsid w:val="00EC2A61"/>
    <w:rsid w:val="00EC2D7F"/>
    <w:rsid w:val="00EC614F"/>
    <w:rsid w:val="00EC6556"/>
    <w:rsid w:val="00ED1FD7"/>
    <w:rsid w:val="00ED3275"/>
    <w:rsid w:val="00ED3A25"/>
    <w:rsid w:val="00ED5234"/>
    <w:rsid w:val="00ED5C41"/>
    <w:rsid w:val="00EE1152"/>
    <w:rsid w:val="00EE2474"/>
    <w:rsid w:val="00EF28C5"/>
    <w:rsid w:val="00EF324E"/>
    <w:rsid w:val="00EF349C"/>
    <w:rsid w:val="00EF39B2"/>
    <w:rsid w:val="00EF39ED"/>
    <w:rsid w:val="00F021CF"/>
    <w:rsid w:val="00F05B0F"/>
    <w:rsid w:val="00F12BB0"/>
    <w:rsid w:val="00F13DE3"/>
    <w:rsid w:val="00F13E79"/>
    <w:rsid w:val="00F16AF2"/>
    <w:rsid w:val="00F17BAE"/>
    <w:rsid w:val="00F2001D"/>
    <w:rsid w:val="00F20029"/>
    <w:rsid w:val="00F2201F"/>
    <w:rsid w:val="00F23852"/>
    <w:rsid w:val="00F24D86"/>
    <w:rsid w:val="00F318B8"/>
    <w:rsid w:val="00F323B7"/>
    <w:rsid w:val="00F33B15"/>
    <w:rsid w:val="00F341B8"/>
    <w:rsid w:val="00F417A3"/>
    <w:rsid w:val="00F42B7E"/>
    <w:rsid w:val="00F42C82"/>
    <w:rsid w:val="00F42EDB"/>
    <w:rsid w:val="00F44275"/>
    <w:rsid w:val="00F46C0C"/>
    <w:rsid w:val="00F5064E"/>
    <w:rsid w:val="00F55B72"/>
    <w:rsid w:val="00F6056C"/>
    <w:rsid w:val="00F60CB5"/>
    <w:rsid w:val="00F61581"/>
    <w:rsid w:val="00F62E7F"/>
    <w:rsid w:val="00F63BB9"/>
    <w:rsid w:val="00F658B9"/>
    <w:rsid w:val="00F67DBB"/>
    <w:rsid w:val="00F700AA"/>
    <w:rsid w:val="00F718B0"/>
    <w:rsid w:val="00F73A71"/>
    <w:rsid w:val="00F77D48"/>
    <w:rsid w:val="00F8293E"/>
    <w:rsid w:val="00F82BD4"/>
    <w:rsid w:val="00F84C94"/>
    <w:rsid w:val="00F90BB6"/>
    <w:rsid w:val="00F915D1"/>
    <w:rsid w:val="00F91939"/>
    <w:rsid w:val="00F93E86"/>
    <w:rsid w:val="00F9576D"/>
    <w:rsid w:val="00F95F0C"/>
    <w:rsid w:val="00F9732F"/>
    <w:rsid w:val="00FA0E7F"/>
    <w:rsid w:val="00FA3548"/>
    <w:rsid w:val="00FA4B38"/>
    <w:rsid w:val="00FA50EB"/>
    <w:rsid w:val="00FA6DC0"/>
    <w:rsid w:val="00FA7EB1"/>
    <w:rsid w:val="00FB1CEC"/>
    <w:rsid w:val="00FB419B"/>
    <w:rsid w:val="00FB46DC"/>
    <w:rsid w:val="00FB6F9F"/>
    <w:rsid w:val="00FB7A48"/>
    <w:rsid w:val="00FC12FE"/>
    <w:rsid w:val="00FC1489"/>
    <w:rsid w:val="00FC3441"/>
    <w:rsid w:val="00FD1ED3"/>
    <w:rsid w:val="00FD6C28"/>
    <w:rsid w:val="00FE1287"/>
    <w:rsid w:val="00FE310B"/>
    <w:rsid w:val="00FE39B9"/>
    <w:rsid w:val="00FE6AD7"/>
    <w:rsid w:val="00FF1BA9"/>
    <w:rsid w:val="00FF5290"/>
    <w:rsid w:val="00FF60DC"/>
    <w:rsid w:val="019C3A88"/>
    <w:rsid w:val="01B8403B"/>
    <w:rsid w:val="02287D7E"/>
    <w:rsid w:val="030E6553"/>
    <w:rsid w:val="03960557"/>
    <w:rsid w:val="03C84930"/>
    <w:rsid w:val="03DF7E09"/>
    <w:rsid w:val="03E67E90"/>
    <w:rsid w:val="043613A4"/>
    <w:rsid w:val="04615143"/>
    <w:rsid w:val="04754202"/>
    <w:rsid w:val="048320BB"/>
    <w:rsid w:val="04B563C2"/>
    <w:rsid w:val="05531A54"/>
    <w:rsid w:val="05E53AA2"/>
    <w:rsid w:val="05F92C68"/>
    <w:rsid w:val="0620235A"/>
    <w:rsid w:val="06571B7A"/>
    <w:rsid w:val="06B10ACD"/>
    <w:rsid w:val="06C25923"/>
    <w:rsid w:val="071D11C9"/>
    <w:rsid w:val="077111CE"/>
    <w:rsid w:val="0772575A"/>
    <w:rsid w:val="07DA3A8F"/>
    <w:rsid w:val="08316975"/>
    <w:rsid w:val="08931C13"/>
    <w:rsid w:val="089D7C92"/>
    <w:rsid w:val="09C92DD3"/>
    <w:rsid w:val="09CF6E4B"/>
    <w:rsid w:val="0AB4609E"/>
    <w:rsid w:val="0ADE415D"/>
    <w:rsid w:val="0BD554C2"/>
    <w:rsid w:val="0C63073D"/>
    <w:rsid w:val="0C7318E1"/>
    <w:rsid w:val="0C901A7D"/>
    <w:rsid w:val="0CCF6888"/>
    <w:rsid w:val="0D0C188A"/>
    <w:rsid w:val="0DD71E98"/>
    <w:rsid w:val="0E43752E"/>
    <w:rsid w:val="0F121EF0"/>
    <w:rsid w:val="101038B6"/>
    <w:rsid w:val="10196798"/>
    <w:rsid w:val="11304CEB"/>
    <w:rsid w:val="118916FB"/>
    <w:rsid w:val="11AF4DCB"/>
    <w:rsid w:val="11CB238C"/>
    <w:rsid w:val="11DF1890"/>
    <w:rsid w:val="126A6425"/>
    <w:rsid w:val="127E6D86"/>
    <w:rsid w:val="12955111"/>
    <w:rsid w:val="12B427A8"/>
    <w:rsid w:val="12CC6E6D"/>
    <w:rsid w:val="13806E42"/>
    <w:rsid w:val="140E7482"/>
    <w:rsid w:val="1440520B"/>
    <w:rsid w:val="14654E7D"/>
    <w:rsid w:val="14737EE6"/>
    <w:rsid w:val="149063EC"/>
    <w:rsid w:val="151A0368"/>
    <w:rsid w:val="16F05D79"/>
    <w:rsid w:val="171071EA"/>
    <w:rsid w:val="174F62D6"/>
    <w:rsid w:val="17EE77F0"/>
    <w:rsid w:val="180F7034"/>
    <w:rsid w:val="183A0A1F"/>
    <w:rsid w:val="187A1D9E"/>
    <w:rsid w:val="18D56A9E"/>
    <w:rsid w:val="19006747"/>
    <w:rsid w:val="190525BE"/>
    <w:rsid w:val="198C1D89"/>
    <w:rsid w:val="19C23937"/>
    <w:rsid w:val="1A342318"/>
    <w:rsid w:val="1A9E3268"/>
    <w:rsid w:val="1B74013C"/>
    <w:rsid w:val="1BCA1848"/>
    <w:rsid w:val="1C762227"/>
    <w:rsid w:val="1CDC3027"/>
    <w:rsid w:val="1CFA34AD"/>
    <w:rsid w:val="1D9F120E"/>
    <w:rsid w:val="1E0D2BED"/>
    <w:rsid w:val="1E591AD6"/>
    <w:rsid w:val="1E7B37A5"/>
    <w:rsid w:val="1EA44D1C"/>
    <w:rsid w:val="1EB0258C"/>
    <w:rsid w:val="1ECD2D49"/>
    <w:rsid w:val="1F14499E"/>
    <w:rsid w:val="1F5B26C7"/>
    <w:rsid w:val="1F5C044F"/>
    <w:rsid w:val="1FF450C0"/>
    <w:rsid w:val="203A4DF7"/>
    <w:rsid w:val="20793160"/>
    <w:rsid w:val="21430A11"/>
    <w:rsid w:val="215A4BDB"/>
    <w:rsid w:val="21962D82"/>
    <w:rsid w:val="219D221A"/>
    <w:rsid w:val="21AB33D9"/>
    <w:rsid w:val="21E75FAA"/>
    <w:rsid w:val="223A41F0"/>
    <w:rsid w:val="224109E7"/>
    <w:rsid w:val="224F2695"/>
    <w:rsid w:val="22CA56D0"/>
    <w:rsid w:val="22EB689E"/>
    <w:rsid w:val="235E2371"/>
    <w:rsid w:val="248F38ED"/>
    <w:rsid w:val="249C2E00"/>
    <w:rsid w:val="24B147FA"/>
    <w:rsid w:val="24C405C7"/>
    <w:rsid w:val="251F5A1E"/>
    <w:rsid w:val="274160AD"/>
    <w:rsid w:val="27F62AEE"/>
    <w:rsid w:val="283223CC"/>
    <w:rsid w:val="2866365B"/>
    <w:rsid w:val="28E50C7F"/>
    <w:rsid w:val="28EB2659"/>
    <w:rsid w:val="28EC345C"/>
    <w:rsid w:val="29202FD3"/>
    <w:rsid w:val="2A44220C"/>
    <w:rsid w:val="2AB14810"/>
    <w:rsid w:val="2AD3072D"/>
    <w:rsid w:val="2B6C7C6C"/>
    <w:rsid w:val="2BD56553"/>
    <w:rsid w:val="2BDD6474"/>
    <w:rsid w:val="2C0B54C5"/>
    <w:rsid w:val="2C292017"/>
    <w:rsid w:val="2CAC4BA2"/>
    <w:rsid w:val="2CB35C78"/>
    <w:rsid w:val="2CF23FA9"/>
    <w:rsid w:val="2CF40890"/>
    <w:rsid w:val="2D1719A4"/>
    <w:rsid w:val="2DDE509E"/>
    <w:rsid w:val="2F204A26"/>
    <w:rsid w:val="2F3045A4"/>
    <w:rsid w:val="2F567AA0"/>
    <w:rsid w:val="301645BB"/>
    <w:rsid w:val="30302844"/>
    <w:rsid w:val="30654C8A"/>
    <w:rsid w:val="309F5392"/>
    <w:rsid w:val="30B4367E"/>
    <w:rsid w:val="313703D4"/>
    <w:rsid w:val="3161171F"/>
    <w:rsid w:val="319A28B2"/>
    <w:rsid w:val="3276083D"/>
    <w:rsid w:val="329A3661"/>
    <w:rsid w:val="32D16C5C"/>
    <w:rsid w:val="3317347C"/>
    <w:rsid w:val="339B19D0"/>
    <w:rsid w:val="33EE2317"/>
    <w:rsid w:val="3508551A"/>
    <w:rsid w:val="359C0F7A"/>
    <w:rsid w:val="35E113E3"/>
    <w:rsid w:val="370B120F"/>
    <w:rsid w:val="37776170"/>
    <w:rsid w:val="37781747"/>
    <w:rsid w:val="37847CCD"/>
    <w:rsid w:val="378B37C3"/>
    <w:rsid w:val="37CD2E49"/>
    <w:rsid w:val="381C1DAF"/>
    <w:rsid w:val="382B35B4"/>
    <w:rsid w:val="3941563D"/>
    <w:rsid w:val="3A4B781C"/>
    <w:rsid w:val="3AE332B3"/>
    <w:rsid w:val="3B071D45"/>
    <w:rsid w:val="3B186D42"/>
    <w:rsid w:val="3BB54959"/>
    <w:rsid w:val="3C8C247C"/>
    <w:rsid w:val="3D514278"/>
    <w:rsid w:val="3D65545B"/>
    <w:rsid w:val="3DAA5BE3"/>
    <w:rsid w:val="3DFB2CDF"/>
    <w:rsid w:val="3E7C6D69"/>
    <w:rsid w:val="3EB83A8B"/>
    <w:rsid w:val="3EE51A3E"/>
    <w:rsid w:val="3F4D512E"/>
    <w:rsid w:val="3FA119B7"/>
    <w:rsid w:val="40177DE3"/>
    <w:rsid w:val="407A192C"/>
    <w:rsid w:val="417A1877"/>
    <w:rsid w:val="4186089B"/>
    <w:rsid w:val="42654E02"/>
    <w:rsid w:val="427C0258"/>
    <w:rsid w:val="42EF614C"/>
    <w:rsid w:val="432253DD"/>
    <w:rsid w:val="43863DDA"/>
    <w:rsid w:val="43D011EA"/>
    <w:rsid w:val="441477C8"/>
    <w:rsid w:val="444939F2"/>
    <w:rsid w:val="44557E80"/>
    <w:rsid w:val="4473408E"/>
    <w:rsid w:val="45551365"/>
    <w:rsid w:val="45CD7101"/>
    <w:rsid w:val="46484442"/>
    <w:rsid w:val="476F66C2"/>
    <w:rsid w:val="47B01446"/>
    <w:rsid w:val="47CC27EE"/>
    <w:rsid w:val="480C3F11"/>
    <w:rsid w:val="482809DA"/>
    <w:rsid w:val="491E1806"/>
    <w:rsid w:val="496B47B7"/>
    <w:rsid w:val="4A0B7731"/>
    <w:rsid w:val="4A9A751F"/>
    <w:rsid w:val="4AB8212E"/>
    <w:rsid w:val="4AC05A5A"/>
    <w:rsid w:val="4AE10089"/>
    <w:rsid w:val="4B022328"/>
    <w:rsid w:val="4B384AFB"/>
    <w:rsid w:val="4B3A3DE4"/>
    <w:rsid w:val="4B6217B9"/>
    <w:rsid w:val="4B701FD3"/>
    <w:rsid w:val="4B77032C"/>
    <w:rsid w:val="4BCA4DC2"/>
    <w:rsid w:val="4BD125AC"/>
    <w:rsid w:val="4BD340D8"/>
    <w:rsid w:val="4C0D5B5D"/>
    <w:rsid w:val="4C360546"/>
    <w:rsid w:val="4CFF75D5"/>
    <w:rsid w:val="4DAE5F5E"/>
    <w:rsid w:val="4E5270C6"/>
    <w:rsid w:val="4E6B5729"/>
    <w:rsid w:val="4EA404FD"/>
    <w:rsid w:val="4F760AE1"/>
    <w:rsid w:val="4FA56487"/>
    <w:rsid w:val="4FC44EDC"/>
    <w:rsid w:val="4FF051A0"/>
    <w:rsid w:val="50141FA4"/>
    <w:rsid w:val="507506FE"/>
    <w:rsid w:val="50D954C3"/>
    <w:rsid w:val="50FE2791"/>
    <w:rsid w:val="51752B27"/>
    <w:rsid w:val="52C12FB4"/>
    <w:rsid w:val="53307DE8"/>
    <w:rsid w:val="535B5D4C"/>
    <w:rsid w:val="53866EE0"/>
    <w:rsid w:val="538F587F"/>
    <w:rsid w:val="544E2FF3"/>
    <w:rsid w:val="54791DE5"/>
    <w:rsid w:val="55D63612"/>
    <w:rsid w:val="56292968"/>
    <w:rsid w:val="56C113D0"/>
    <w:rsid w:val="56CB143B"/>
    <w:rsid w:val="56D624B0"/>
    <w:rsid w:val="57E05BE1"/>
    <w:rsid w:val="57E85199"/>
    <w:rsid w:val="58346A24"/>
    <w:rsid w:val="58F72073"/>
    <w:rsid w:val="59464DA9"/>
    <w:rsid w:val="59654F1B"/>
    <w:rsid w:val="5971210D"/>
    <w:rsid w:val="59F82547"/>
    <w:rsid w:val="5A8E6B50"/>
    <w:rsid w:val="5B526E3B"/>
    <w:rsid w:val="5D176670"/>
    <w:rsid w:val="5DB42246"/>
    <w:rsid w:val="5DBC1ADE"/>
    <w:rsid w:val="5E0D2C7D"/>
    <w:rsid w:val="5E2C755E"/>
    <w:rsid w:val="5E4A6AF2"/>
    <w:rsid w:val="5EFB5FCF"/>
    <w:rsid w:val="5F185E67"/>
    <w:rsid w:val="5F912EFC"/>
    <w:rsid w:val="5FA752A4"/>
    <w:rsid w:val="60032F94"/>
    <w:rsid w:val="60532394"/>
    <w:rsid w:val="605C4EB2"/>
    <w:rsid w:val="609346F9"/>
    <w:rsid w:val="60976762"/>
    <w:rsid w:val="60E87DCD"/>
    <w:rsid w:val="615674ED"/>
    <w:rsid w:val="62202150"/>
    <w:rsid w:val="62255EA3"/>
    <w:rsid w:val="635001EF"/>
    <w:rsid w:val="637048DB"/>
    <w:rsid w:val="637B1AF3"/>
    <w:rsid w:val="63D0272B"/>
    <w:rsid w:val="64834717"/>
    <w:rsid w:val="64AA146F"/>
    <w:rsid w:val="64F629E2"/>
    <w:rsid w:val="650B1EAB"/>
    <w:rsid w:val="65335497"/>
    <w:rsid w:val="65431800"/>
    <w:rsid w:val="659956F1"/>
    <w:rsid w:val="65D76172"/>
    <w:rsid w:val="66C77325"/>
    <w:rsid w:val="66CE3288"/>
    <w:rsid w:val="678673E4"/>
    <w:rsid w:val="68931D4F"/>
    <w:rsid w:val="68996CA3"/>
    <w:rsid w:val="68C6406F"/>
    <w:rsid w:val="69645CCE"/>
    <w:rsid w:val="6A1638AD"/>
    <w:rsid w:val="6A3944D6"/>
    <w:rsid w:val="6A411797"/>
    <w:rsid w:val="6B4551DF"/>
    <w:rsid w:val="6B9E2823"/>
    <w:rsid w:val="6BC935EB"/>
    <w:rsid w:val="6BCE4A74"/>
    <w:rsid w:val="6C1D59BA"/>
    <w:rsid w:val="6C992C34"/>
    <w:rsid w:val="6CA95923"/>
    <w:rsid w:val="6CDF45CD"/>
    <w:rsid w:val="6D7418A4"/>
    <w:rsid w:val="6D756958"/>
    <w:rsid w:val="6E3B0A20"/>
    <w:rsid w:val="70227EC6"/>
    <w:rsid w:val="71035C45"/>
    <w:rsid w:val="718323E3"/>
    <w:rsid w:val="718B3849"/>
    <w:rsid w:val="719A58E8"/>
    <w:rsid w:val="72E90ED3"/>
    <w:rsid w:val="73663647"/>
    <w:rsid w:val="7377015A"/>
    <w:rsid w:val="73966C01"/>
    <w:rsid w:val="739D2BFF"/>
    <w:rsid w:val="73B77D0C"/>
    <w:rsid w:val="73C37269"/>
    <w:rsid w:val="74027DBB"/>
    <w:rsid w:val="74586303"/>
    <w:rsid w:val="752419D7"/>
    <w:rsid w:val="7526130E"/>
    <w:rsid w:val="75A62E64"/>
    <w:rsid w:val="75B4228D"/>
    <w:rsid w:val="75BB53FD"/>
    <w:rsid w:val="75E96582"/>
    <w:rsid w:val="76470CAA"/>
    <w:rsid w:val="764D1082"/>
    <w:rsid w:val="766F2799"/>
    <w:rsid w:val="76FC63AD"/>
    <w:rsid w:val="772C5186"/>
    <w:rsid w:val="773B6256"/>
    <w:rsid w:val="774C0D1D"/>
    <w:rsid w:val="776D5ECB"/>
    <w:rsid w:val="780B7492"/>
    <w:rsid w:val="792C0FD8"/>
    <w:rsid w:val="7A3C0663"/>
    <w:rsid w:val="7AC758F2"/>
    <w:rsid w:val="7D07233B"/>
    <w:rsid w:val="7D1027D6"/>
    <w:rsid w:val="7D1B6488"/>
    <w:rsid w:val="7D40391F"/>
    <w:rsid w:val="7DF96BCA"/>
    <w:rsid w:val="7E1251F4"/>
    <w:rsid w:val="7E1C2E5A"/>
    <w:rsid w:val="7E6416AA"/>
    <w:rsid w:val="7EE66F59"/>
    <w:rsid w:val="7F1A6E76"/>
    <w:rsid w:val="7F1F783D"/>
    <w:rsid w:val="7FAF396D"/>
    <w:rsid w:val="7FC17629"/>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1" w:semiHidden="0" w:name="heading 3"/>
    <w:lsdException w:qFormat="1" w:uiPriority="1" w:semiHidden="0" w:name="heading 4"/>
    <w:lsdException w:qFormat="1"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Courier New" w:cs="Times New Roman"/>
      <w:kern w:val="2"/>
      <w:sz w:val="21"/>
      <w:szCs w:val="21"/>
      <w:lang w:val="en-US" w:eastAsia="zh-CN" w:bidi="ar-SA"/>
    </w:rPr>
  </w:style>
  <w:style w:type="paragraph" w:styleId="2">
    <w:name w:val="heading 1"/>
    <w:basedOn w:val="1"/>
    <w:next w:val="1"/>
    <w:qFormat/>
    <w:uiPriority w:val="1"/>
    <w:pPr>
      <w:keepNext/>
      <w:keepLines/>
      <w:spacing w:before="340" w:after="330" w:line="576" w:lineRule="auto"/>
      <w:outlineLvl w:val="0"/>
    </w:pPr>
    <w:rPr>
      <w:b/>
      <w:kern w:val="44"/>
      <w:sz w:val="44"/>
    </w:rPr>
  </w:style>
  <w:style w:type="paragraph" w:styleId="3">
    <w:name w:val="heading 2"/>
    <w:basedOn w:val="1"/>
    <w:next w:val="1"/>
    <w:link w:val="30"/>
    <w:qFormat/>
    <w:uiPriority w:val="1"/>
    <w:pPr>
      <w:keepNext/>
      <w:keepLines/>
      <w:adjustRightInd w:val="0"/>
      <w:snapToGrid w:val="0"/>
      <w:spacing w:before="260" w:after="260" w:line="416" w:lineRule="auto"/>
      <w:ind w:firstLine="600" w:firstLineChars="200"/>
      <w:outlineLvl w:val="1"/>
    </w:pPr>
    <w:rPr>
      <w:rFonts w:ascii="Arial" w:hAnsi="Arial" w:eastAsia="Symbol"/>
      <w:b/>
      <w:bCs/>
      <w:sz w:val="32"/>
      <w:szCs w:val="32"/>
    </w:rPr>
  </w:style>
  <w:style w:type="paragraph" w:styleId="4">
    <w:name w:val="heading 3"/>
    <w:basedOn w:val="1"/>
    <w:next w:val="1"/>
    <w:unhideWhenUsed/>
    <w:qFormat/>
    <w:uiPriority w:val="1"/>
    <w:pPr>
      <w:keepNext/>
      <w:keepLines/>
      <w:spacing w:before="260" w:after="260" w:line="413" w:lineRule="auto"/>
      <w:outlineLvl w:val="2"/>
    </w:pPr>
    <w:rPr>
      <w:b/>
      <w:sz w:val="32"/>
    </w:rPr>
  </w:style>
  <w:style w:type="paragraph" w:styleId="5">
    <w:name w:val="heading 4"/>
    <w:basedOn w:val="1"/>
    <w:next w:val="1"/>
    <w:link w:val="35"/>
    <w:unhideWhenUsed/>
    <w:qFormat/>
    <w:uiPriority w:val="1"/>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33"/>
    <w:unhideWhenUsed/>
    <w:qFormat/>
    <w:uiPriority w:val="1"/>
    <w:pPr>
      <w:keepNext/>
      <w:keepLines/>
      <w:spacing w:before="280" w:after="290" w:line="376" w:lineRule="auto"/>
      <w:outlineLvl w:val="4"/>
    </w:pPr>
    <w:rPr>
      <w:b/>
      <w:bCs/>
      <w:sz w:val="28"/>
      <w:szCs w:val="28"/>
    </w:rPr>
  </w:style>
  <w:style w:type="character" w:default="1" w:styleId="19">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7">
    <w:name w:val="annotation subject"/>
    <w:basedOn w:val="8"/>
    <w:next w:val="8"/>
    <w:link w:val="27"/>
    <w:unhideWhenUsed/>
    <w:qFormat/>
    <w:uiPriority w:val="99"/>
    <w:rPr>
      <w:b/>
      <w:bCs/>
    </w:rPr>
  </w:style>
  <w:style w:type="paragraph" w:styleId="8">
    <w:name w:val="annotation text"/>
    <w:basedOn w:val="1"/>
    <w:link w:val="26"/>
    <w:unhideWhenUsed/>
    <w:qFormat/>
    <w:uiPriority w:val="99"/>
    <w:pPr>
      <w:jc w:val="left"/>
    </w:pPr>
  </w:style>
  <w:style w:type="paragraph" w:styleId="9">
    <w:name w:val="Normal Indent"/>
    <w:basedOn w:val="1"/>
    <w:next w:val="10"/>
    <w:qFormat/>
    <w:uiPriority w:val="0"/>
    <w:pPr>
      <w:spacing w:line="360" w:lineRule="auto"/>
      <w:ind w:firstLine="420" w:firstLineChars="200"/>
      <w:jc w:val="left"/>
    </w:pPr>
    <w:rPr>
      <w:rFonts w:ascii="仿宋_GB2312" w:hAnsi="Arial" w:eastAsia="仿宋_GB2312"/>
      <w:kern w:val="0"/>
      <w:sz w:val="30"/>
      <w:szCs w:val="30"/>
    </w:rPr>
  </w:style>
  <w:style w:type="paragraph" w:styleId="10">
    <w:name w:val="Body Text"/>
    <w:basedOn w:val="1"/>
    <w:link w:val="34"/>
    <w:unhideWhenUsed/>
    <w:qFormat/>
    <w:uiPriority w:val="1"/>
    <w:pPr>
      <w:spacing w:after="120"/>
    </w:pPr>
  </w:style>
  <w:style w:type="paragraph" w:styleId="11">
    <w:name w:val="Body Text Indent"/>
    <w:basedOn w:val="1"/>
    <w:qFormat/>
    <w:uiPriority w:val="0"/>
    <w:pPr>
      <w:spacing w:after="120"/>
      <w:ind w:left="420" w:leftChars="200"/>
      <w:jc w:val="left"/>
    </w:pPr>
    <w:rPr>
      <w:rFonts w:hint="eastAsia" w:ascii="宋体" w:hAnsi="宋体" w:eastAsia="宋体"/>
      <w:kern w:val="0"/>
      <w:sz w:val="24"/>
      <w:szCs w:val="24"/>
    </w:rPr>
  </w:style>
  <w:style w:type="paragraph" w:styleId="12">
    <w:name w:val="Balloon Text"/>
    <w:basedOn w:val="1"/>
    <w:link w:val="36"/>
    <w:unhideWhenUsed/>
    <w:qFormat/>
    <w:uiPriority w:val="99"/>
    <w:rPr>
      <w:sz w:val="18"/>
      <w:szCs w:val="18"/>
    </w:rPr>
  </w:style>
  <w:style w:type="paragraph" w:styleId="13">
    <w:name w:val="footer"/>
    <w:basedOn w:val="1"/>
    <w:link w:val="2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4">
    <w:name w:val="Body Text First Indent 2"/>
    <w:basedOn w:val="11"/>
    <w:qFormat/>
    <w:uiPriority w:val="0"/>
    <w:pPr>
      <w:ind w:firstLine="420"/>
    </w:pPr>
  </w:style>
  <w:style w:type="paragraph" w:styleId="15">
    <w:name w:val="header"/>
    <w:basedOn w:val="1"/>
    <w:link w:val="2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6">
    <w:name w:val="toc 1"/>
    <w:basedOn w:val="1"/>
    <w:next w:val="1"/>
    <w:unhideWhenUsed/>
    <w:qFormat/>
    <w:uiPriority w:val="39"/>
    <w:pPr>
      <w:tabs>
        <w:tab w:val="right" w:leader="dot" w:pos="8714"/>
      </w:tabs>
      <w:spacing w:before="60" w:line="360" w:lineRule="auto"/>
      <w:ind w:left="200" w:leftChars="200"/>
      <w:jc w:val="left"/>
    </w:pPr>
    <w:rPr>
      <w:rFonts w:eastAsia="Helvetica" w:cs="Courier"/>
      <w:bCs/>
      <w:caps/>
      <w:sz w:val="30"/>
      <w:szCs w:val="20"/>
    </w:rPr>
  </w:style>
  <w:style w:type="paragraph" w:styleId="17">
    <w:name w:val="Subtitle"/>
    <w:basedOn w:val="1"/>
    <w:next w:val="1"/>
    <w:link w:val="29"/>
    <w:qFormat/>
    <w:uiPriority w:val="11"/>
    <w:pPr>
      <w:spacing w:before="240" w:after="60" w:line="312" w:lineRule="auto"/>
      <w:jc w:val="center"/>
      <w:outlineLvl w:val="1"/>
    </w:pPr>
    <w:rPr>
      <w:rFonts w:asciiTheme="minorHAnsi" w:hAnsiTheme="minorHAnsi" w:eastAsiaTheme="minorEastAsia" w:cstheme="minorBidi"/>
      <w:b/>
      <w:bCs/>
      <w:kern w:val="28"/>
      <w:sz w:val="32"/>
      <w:szCs w:val="32"/>
    </w:rPr>
  </w:style>
  <w:style w:type="paragraph" w:styleId="18">
    <w:name w:val="toc 2"/>
    <w:basedOn w:val="1"/>
    <w:next w:val="1"/>
    <w:unhideWhenUsed/>
    <w:qFormat/>
    <w:uiPriority w:val="39"/>
    <w:pPr>
      <w:tabs>
        <w:tab w:val="right" w:leader="dot" w:pos="8714"/>
      </w:tabs>
      <w:spacing w:line="360" w:lineRule="auto"/>
      <w:ind w:left="350" w:leftChars="350"/>
      <w:jc w:val="left"/>
    </w:pPr>
    <w:rPr>
      <w:rFonts w:eastAsia="Tms Rmn" w:cs="Courier"/>
      <w:smallCaps/>
      <w:sz w:val="30"/>
      <w:szCs w:val="20"/>
    </w:rPr>
  </w:style>
  <w:style w:type="character" w:styleId="20">
    <w:name w:val="Hyperlink"/>
    <w:basedOn w:val="19"/>
    <w:unhideWhenUsed/>
    <w:qFormat/>
    <w:uiPriority w:val="99"/>
    <w:rPr>
      <w:color w:val="0563C1" w:themeColor="hyperlink"/>
      <w:u w:val="single"/>
      <w14:textFill>
        <w14:solidFill>
          <w14:schemeClr w14:val="hlink"/>
        </w14:solidFill>
      </w14:textFill>
    </w:rPr>
  </w:style>
  <w:style w:type="character" w:styleId="21">
    <w:name w:val="annotation reference"/>
    <w:basedOn w:val="19"/>
    <w:unhideWhenUsed/>
    <w:qFormat/>
    <w:uiPriority w:val="99"/>
    <w:rPr>
      <w:sz w:val="21"/>
      <w:szCs w:val="21"/>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4">
    <w:name w:val="页眉 Char"/>
    <w:basedOn w:val="19"/>
    <w:link w:val="15"/>
    <w:qFormat/>
    <w:uiPriority w:val="99"/>
    <w:rPr>
      <w:sz w:val="18"/>
      <w:szCs w:val="18"/>
    </w:rPr>
  </w:style>
  <w:style w:type="character" w:customStyle="1" w:styleId="25">
    <w:name w:val="页脚 Char"/>
    <w:basedOn w:val="19"/>
    <w:link w:val="13"/>
    <w:qFormat/>
    <w:uiPriority w:val="99"/>
    <w:rPr>
      <w:sz w:val="18"/>
      <w:szCs w:val="18"/>
    </w:rPr>
  </w:style>
  <w:style w:type="character" w:customStyle="1" w:styleId="26">
    <w:name w:val="批注文字 Char"/>
    <w:basedOn w:val="19"/>
    <w:link w:val="8"/>
    <w:qFormat/>
    <w:uiPriority w:val="99"/>
    <w:rPr>
      <w:rFonts w:ascii="Times New Roman" w:hAnsi="Times New Roman" w:eastAsia="Courier New" w:cs="Times New Roman"/>
      <w:szCs w:val="21"/>
    </w:rPr>
  </w:style>
  <w:style w:type="character" w:customStyle="1" w:styleId="27">
    <w:name w:val="批注主题 Char"/>
    <w:basedOn w:val="26"/>
    <w:link w:val="7"/>
    <w:semiHidden/>
    <w:qFormat/>
    <w:uiPriority w:val="99"/>
    <w:rPr>
      <w:rFonts w:ascii="Times New Roman" w:hAnsi="Times New Roman" w:eastAsia="Courier New" w:cs="Times New Roman"/>
      <w:b/>
      <w:bCs/>
      <w:szCs w:val="21"/>
    </w:rPr>
  </w:style>
  <w:style w:type="paragraph" w:customStyle="1" w:styleId="28">
    <w:name w:val="独立格式"/>
    <w:basedOn w:val="17"/>
    <w:qFormat/>
    <w:uiPriority w:val="1"/>
    <w:pPr>
      <w:spacing w:before="0" w:after="0" w:line="360" w:lineRule="auto"/>
      <w:outlineLvl w:val="9"/>
    </w:pPr>
    <w:rPr>
      <w:rFonts w:ascii="Times New Roman" w:hAnsi="Times New Roman" w:eastAsia="Tms Rmn" w:cs="Times New Roman"/>
      <w:b w:val="0"/>
      <w:bCs w:val="0"/>
      <w:kern w:val="2"/>
      <w:szCs w:val="52"/>
    </w:rPr>
  </w:style>
  <w:style w:type="character" w:customStyle="1" w:styleId="29">
    <w:name w:val="副标题 Char"/>
    <w:basedOn w:val="19"/>
    <w:link w:val="17"/>
    <w:qFormat/>
    <w:uiPriority w:val="11"/>
    <w:rPr>
      <w:b/>
      <w:bCs/>
      <w:kern w:val="28"/>
      <w:sz w:val="32"/>
      <w:szCs w:val="32"/>
    </w:rPr>
  </w:style>
  <w:style w:type="character" w:customStyle="1" w:styleId="30">
    <w:name w:val="标题 2 Char"/>
    <w:basedOn w:val="19"/>
    <w:link w:val="3"/>
    <w:qFormat/>
    <w:uiPriority w:val="9"/>
    <w:rPr>
      <w:rFonts w:ascii="Arial" w:hAnsi="Arial" w:eastAsia="Symbol" w:cs="Times New Roman"/>
      <w:b/>
      <w:bCs/>
      <w:sz w:val="32"/>
      <w:szCs w:val="32"/>
    </w:rPr>
  </w:style>
  <w:style w:type="paragraph" w:customStyle="1" w:styleId="31">
    <w:name w:val="表格名称"/>
    <w:basedOn w:val="1"/>
    <w:qFormat/>
    <w:uiPriority w:val="0"/>
    <w:pPr>
      <w:spacing w:line="360" w:lineRule="auto"/>
      <w:jc w:val="center"/>
    </w:pPr>
    <w:rPr>
      <w:rFonts w:eastAsia="Helv" w:cs="New York"/>
      <w:b/>
      <w:sz w:val="24"/>
      <w:szCs w:val="24"/>
    </w:rPr>
  </w:style>
  <w:style w:type="paragraph" w:customStyle="1" w:styleId="32">
    <w:name w:val="表格文字"/>
    <w:basedOn w:val="28"/>
    <w:next w:val="1"/>
    <w:qFormat/>
    <w:uiPriority w:val="0"/>
    <w:pPr>
      <w:spacing w:line="360" w:lineRule="exact"/>
    </w:pPr>
    <w:rPr>
      <w:rFonts w:eastAsia="Helv" w:cs="New York"/>
      <w:sz w:val="24"/>
    </w:rPr>
  </w:style>
  <w:style w:type="character" w:customStyle="1" w:styleId="33">
    <w:name w:val="标题 5 Char"/>
    <w:basedOn w:val="19"/>
    <w:link w:val="6"/>
    <w:semiHidden/>
    <w:qFormat/>
    <w:uiPriority w:val="9"/>
    <w:rPr>
      <w:rFonts w:ascii="Times New Roman" w:hAnsi="Times New Roman" w:eastAsia="Courier New" w:cs="Times New Roman"/>
      <w:b/>
      <w:bCs/>
      <w:sz w:val="28"/>
      <w:szCs w:val="28"/>
    </w:rPr>
  </w:style>
  <w:style w:type="character" w:customStyle="1" w:styleId="34">
    <w:name w:val="正文文本 Char"/>
    <w:basedOn w:val="19"/>
    <w:link w:val="10"/>
    <w:semiHidden/>
    <w:qFormat/>
    <w:uiPriority w:val="99"/>
    <w:rPr>
      <w:rFonts w:ascii="Times New Roman" w:hAnsi="Times New Roman" w:eastAsia="Courier New" w:cs="Times New Roman"/>
      <w:szCs w:val="21"/>
    </w:rPr>
  </w:style>
  <w:style w:type="character" w:customStyle="1" w:styleId="35">
    <w:name w:val="标题 4 Char"/>
    <w:basedOn w:val="19"/>
    <w:link w:val="5"/>
    <w:semiHidden/>
    <w:qFormat/>
    <w:uiPriority w:val="9"/>
    <w:rPr>
      <w:rFonts w:asciiTheme="majorHAnsi" w:hAnsiTheme="majorHAnsi" w:eastAsiaTheme="majorEastAsia" w:cstheme="majorBidi"/>
      <w:b/>
      <w:bCs/>
      <w:sz w:val="28"/>
      <w:szCs w:val="28"/>
    </w:rPr>
  </w:style>
  <w:style w:type="character" w:customStyle="1" w:styleId="36">
    <w:name w:val="批注框文本 Char"/>
    <w:basedOn w:val="19"/>
    <w:link w:val="12"/>
    <w:semiHidden/>
    <w:qFormat/>
    <w:uiPriority w:val="99"/>
    <w:rPr>
      <w:rFonts w:ascii="Times New Roman" w:hAnsi="Times New Roman" w:eastAsia="Courier New" w:cs="Times New Roman"/>
      <w:kern w:val="2"/>
      <w:sz w:val="18"/>
      <w:szCs w:val="18"/>
    </w:rPr>
  </w:style>
  <w:style w:type="table" w:customStyle="1" w:styleId="37">
    <w:name w:val="Table Normal"/>
    <w:unhideWhenUsed/>
    <w:qFormat/>
    <w:uiPriority w:val="2"/>
    <w:tblPr>
      <w:tblLayout w:type="fixed"/>
      <w:tblCellMar>
        <w:top w:w="0" w:type="dxa"/>
        <w:left w:w="0" w:type="dxa"/>
        <w:bottom w:w="0" w:type="dxa"/>
        <w:right w:w="0" w:type="dxa"/>
      </w:tblCellMar>
    </w:tblPr>
  </w:style>
  <w:style w:type="paragraph" w:customStyle="1" w:styleId="38">
    <w:name w:val="List Paragraph"/>
    <w:basedOn w:val="1"/>
    <w:qFormat/>
    <w:uiPriority w:val="1"/>
    <w:pPr>
      <w:autoSpaceDE w:val="0"/>
      <w:autoSpaceDN w:val="0"/>
      <w:ind w:left="109" w:right="99" w:firstLine="641"/>
      <w:jc w:val="left"/>
    </w:pPr>
    <w:rPr>
      <w:rFonts w:ascii="Arial Unicode MS" w:hAnsi="Arial Unicode MS" w:eastAsia="Arial Unicode MS" w:cs="Arial Unicode MS"/>
      <w:kern w:val="0"/>
      <w:sz w:val="22"/>
      <w:szCs w:val="22"/>
      <w:lang w:eastAsia="en-US"/>
    </w:rPr>
  </w:style>
  <w:style w:type="paragraph" w:customStyle="1" w:styleId="39">
    <w:name w:val="Table Paragraph"/>
    <w:basedOn w:val="1"/>
    <w:qFormat/>
    <w:uiPriority w:val="1"/>
    <w:pPr>
      <w:autoSpaceDE w:val="0"/>
      <w:autoSpaceDN w:val="0"/>
      <w:jc w:val="left"/>
    </w:pPr>
    <w:rPr>
      <w:rFonts w:ascii="宋体" w:hAnsi="宋体" w:eastAsia="宋体" w:cs="宋体"/>
      <w:kern w:val="0"/>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39044;&#31639;&#21644;&#20915;&#31639;&#20844;&#24320;\&#20915;&#31639;&#20844;&#24320;\2023&#20915;&#31639;&#20844;&#24320;\&#26032;&#24314; Microsoft Excel &#24037;&#20316;&#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Desktop\&#39044;&#31639;&#21644;&#20915;&#31639;&#20844;&#24320;\&#20915;&#31639;&#20844;&#24320;\2023&#20915;&#31639;&#20844;&#24320;\&#26032;&#24314; Microsoft Excel &#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0650743281655"/>
          <c:y val="0.0140383715489003"/>
          <c:w val="0.439952081461515"/>
          <c:h val="0.869745411486086"/>
        </c:manualLayout>
      </c:layout>
      <c:pieChart>
        <c:varyColors val="1"/>
        <c:ser>
          <c:idx val="0"/>
          <c:order val="0"/>
          <c:spPr>
            <a:effectLst/>
          </c:spPr>
          <c:dPt>
            <c:idx val="0"/>
            <c:bubble3D val="0"/>
            <c:spPr>
              <a:gradFill rotWithShape="1">
                <a:gsLst>
                  <a:gs pos="1000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chemeClr val="accent1">
                    <a:alpha val="35000"/>
                  </a:schemeClr>
                </a:outerShdw>
              </a:effectLst>
            </c:spPr>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chemeClr val="accent2">
                    <a:alpha val="35000"/>
                  </a:schemeClr>
                </a:outerShdw>
              </a:effectLst>
            </c:spPr>
          </c:dPt>
          <c:cat>
            <c:strRef>
              <c:f>'[新建 Microsoft Excel 工作表.xlsx]Sheet1'!$B$7</c:f>
              <c:strCache>
                <c:ptCount val="1"/>
                <c:pt idx="0">
                  <c:v>一般公共预算财政拨款收入583.96万元，100.00%</c:v>
                </c:pt>
              </c:strCache>
            </c:strRef>
          </c:cat>
          <c:val>
            <c:numRef>
              <c:f>'[新建 Microsoft Excel 工作表.xlsx]Sheet1'!$G$17:$G$18</c:f>
              <c:numCache>
                <c:formatCode>General</c:formatCode>
                <c:ptCount val="2"/>
                <c:pt idx="0" c:formatCode="General">
                  <c:v>583.96</c:v>
                </c:pt>
                <c:pt idx="1" c:formatCode="General">
                  <c:v>0</c:v>
                </c:pt>
              </c:numCache>
            </c:numRef>
          </c:val>
        </c:ser>
        <c:dLbls>
          <c:dLblPos val="bestFit"/>
          <c:showLegendKey val="0"/>
          <c:showVal val="0"/>
          <c:showCatName val="0"/>
          <c:showSerName val="0"/>
          <c:showPercent val="0"/>
          <c:showBubbleSize val="0"/>
        </c:dLbls>
        <c:firstSliceAng val="0"/>
      </c:pieChart>
      <c:spPr>
        <a:noFill/>
        <a:ln>
          <a:noFill/>
        </a:ln>
        <a:effectLst/>
      </c:spPr>
    </c:plotArea>
    <c:legend>
      <c:legendPos val="r"/>
      <c:legendEntry>
        <c:idx val="1"/>
        <c:delete val="1"/>
      </c:legendEntry>
      <c:layout>
        <c:manualLayout>
          <c:xMode val="edge"/>
          <c:yMode val="edge"/>
          <c:x val="0.653078607933804"/>
          <c:y val="0.107795100222717"/>
          <c:w val="0.280360184959844"/>
          <c:h val="0.333184855233853"/>
        </c:manualLayout>
      </c:layout>
      <c:overlay val="1"/>
      <c:spPr>
        <a:noFill/>
        <a:ln>
          <a:noFill/>
        </a:ln>
        <a:effectLst/>
      </c:spPr>
      <c:txPr>
        <a:bodyPr rot="0" spcFirstLastPara="0" vertOverflow="ellipsis" horzOverflow="overflow" vert="horz" wrap="square" anchor="ctr" anchorCtr="1"/>
        <a:lstStyle/>
        <a:p>
          <a:pPr>
            <a:defRPr sz="900" kern="1200">
              <a:solidFill>
                <a:schemeClr val="tx2"/>
              </a:solidFill>
              <a:latin typeface="+mn-lt"/>
              <a:ea typeface="+mn-ea"/>
              <a:cs typeface="+mn-cs"/>
            </a:defRPr>
          </a:pPr>
        </a:p>
      </c:txPr>
    </c:legend>
    <c:plotVisOnly val="1"/>
    <c:dispBlanksAs val="gap"/>
    <c:showDLblsOverMax val="0"/>
  </c:chart>
  <c:spPr>
    <a:noFill/>
    <a:ln w="9525" cap="flat" cmpd="sng" algn="ctr">
      <a:solidFill>
        <a:schemeClr val="tx2">
          <a:lumMod val="15000"/>
          <a:lumOff val="85000"/>
        </a:schemeClr>
      </a:solidFill>
      <a:round/>
    </a:ln>
    <a:effectLst/>
  </c:spPr>
  <c:txPr>
    <a:bodyPr rot="0" spcFirstLastPara="0" vertOverflow="ellipsis" horzOverflow="overflow" vert="horz" wrap="square" anchor="ctr" anchorCtr="1"/>
    <a:lstStyle/>
    <a:p>
      <a:pPr>
        <a:defRPr lang="zh-CN" sz="900" kern="1200">
          <a:solidFill>
            <a:schemeClr val="tx2"/>
          </a:solidFill>
          <a:latin typeface="+mn-lt"/>
          <a:ea typeface="+mn-ea"/>
          <a:cs typeface="+mn-cs"/>
        </a:defRPr>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effectLst/>
          </c:spPr>
          <c:dPt>
            <c:idx val="0"/>
            <c:bubble3D val="0"/>
            <c:spPr>
              <a:solidFill>
                <a:schemeClr val="accent1"/>
              </a:solidFill>
              <a:ln>
                <a:noFill/>
              </a:ln>
              <a:effectLst>
                <a:outerShdw blurRad="63500" sx="102000" sy="102000" rotWithShape="0">
                  <a:schemeClr val="accent1">
                    <a:alpha val="20000"/>
                  </a:schemeClr>
                </a:outerShdw>
              </a:effectLst>
            </c:spPr>
          </c:dPt>
          <c:dPt>
            <c:idx val="1"/>
            <c:bubble3D val="0"/>
            <c:spPr>
              <a:solidFill>
                <a:schemeClr val="accent2"/>
              </a:solidFill>
              <a:ln>
                <a:noFill/>
              </a:ln>
              <a:effectLst>
                <a:outerShdw blurRad="63500" sx="102000" sy="102000" rotWithShape="0">
                  <a:schemeClr val="accent2">
                    <a:alpha val="20000"/>
                  </a:schemeClr>
                </a:outerShdw>
              </a:effectLst>
            </c:spPr>
          </c:dPt>
          <c:dLbls>
            <c:dLbl>
              <c:idx val="0"/>
              <c:layout>
                <c:manualLayout>
                  <c:x val="0.23125"/>
                  <c:y val="-0.123623256892667"/>
                </c:manualLayout>
              </c:layout>
              <c:numFmt formatCode="General" sourceLinked="1"/>
              <c:txPr>
                <a:bodyPr rot="0" spcFirstLastPara="0" vertOverflow="ellipsis" horzOverflow="overflow" vert="horz" wrap="square" anchor="ctr" anchorCtr="1"/>
                <a:lstStyle/>
                <a:p>
                  <a:pPr>
                    <a:defRPr sz="1000" b="1" i="0" u="none" strike="noStrike" kern="1200" spc="0" baseline="0">
                      <a:solidFill>
                        <a:schemeClr val="accent1"/>
                      </a:solidFill>
                      <a:latin typeface="+mn-lt"/>
                      <a:ea typeface="+mn-ea"/>
                      <a:cs typeface="+mn-cs"/>
                    </a:defRPr>
                  </a:pPr>
                </a:p>
              </c:txPr>
              <c:dLblPos val="outEnd"/>
              <c:showLegendKey val="0"/>
              <c:showVal val="0"/>
              <c:showCatName val="1"/>
              <c:showSerName val="0"/>
              <c:showPercent val="0"/>
              <c:showBubbleSize val="0"/>
              <c:extLst>
                <c:ext xmlns:c15="http://schemas.microsoft.com/office/drawing/2012/chart" uri="{CE6537A1-D6FC-4f65-9D91-7224C49458BB}">
                  <c15:layout>
                    <c:manualLayout>
                      <c:w val="0.214855905831417"/>
                      <c:h val="0.44758064516129"/>
                    </c:manualLayout>
                  </c15:layout>
                </c:ext>
              </c:extLst>
            </c:dLbl>
            <c:dLbl>
              <c:idx val="1"/>
              <c:layout>
                <c:manualLayout>
                  <c:x val="-0.223783712172462"/>
                  <c:y val="0.0340097252203539"/>
                </c:manualLayout>
              </c:layout>
              <c:numFmt formatCode="General" sourceLinked="1"/>
              <c:txPr>
                <a:bodyPr rot="0" spcFirstLastPara="0" vertOverflow="ellipsis" horzOverflow="overflow" vert="horz" wrap="square" anchor="ctr" anchorCtr="1"/>
                <a:lstStyle/>
                <a:p>
                  <a:pPr>
                    <a:defRPr sz="1000" b="1" i="0" u="none" strike="noStrike" kern="1200" spc="0" baseline="0">
                      <a:solidFill>
                        <a:schemeClr val="accent2"/>
                      </a:solidFill>
                      <a:latin typeface="+mn-lt"/>
                      <a:ea typeface="+mn-ea"/>
                      <a:cs typeface="+mn-cs"/>
                    </a:defRPr>
                  </a:pPr>
                </a:p>
              </c:txPr>
              <c:dLblPos val="outEnd"/>
              <c:showLegendKey val="0"/>
              <c:showVal val="0"/>
              <c:showCatName val="1"/>
              <c:showSerName val="0"/>
              <c:showPercent val="0"/>
              <c:showBubbleSize val="0"/>
              <c:extLst>
                <c:ext xmlns:c15="http://schemas.microsoft.com/office/drawing/2012/chart" uri="{CE6537A1-D6FC-4f65-9D91-7224C49458BB}">
                  <c15:layout>
                    <c:manualLayout>
                      <c:w val="0.292517927208767"/>
                      <c:h val="0.390395894428152"/>
                    </c:manualLayout>
                  </c15:layout>
                </c:ext>
              </c:extLst>
            </c:dLbl>
            <c:numFmt formatCode="General" sourceLinked="1"/>
            <c:spPr>
              <a:noFill/>
              <a:ln>
                <a:noFill/>
              </a:ln>
              <a:effectLst/>
            </c:spPr>
            <c:txPr>
              <a:bodyPr rot="0" spcFirstLastPara="0" vertOverflow="ellipsis" horzOverflow="overflow" vert="horz" wrap="square" anchor="ctr" anchorCtr="1"/>
              <a:lstStyle/>
              <a:p>
                <a:pPr>
                  <a:defRPr sz="1000" b="1" i="0" u="none" strike="noStrike" kern="1200" spc="0" baseline="0">
                    <a:latin typeface="+mn-lt"/>
                    <a:ea typeface="+mn-ea"/>
                    <a:cs typeface="+mn-cs"/>
                  </a:defRPr>
                </a:pPr>
              </a:p>
            </c:txPr>
            <c:dLblPos val="outEnd"/>
            <c:showLegendKey val="0"/>
            <c:showVal val="0"/>
            <c:showCatName val="1"/>
            <c:showSerName val="0"/>
            <c:showPercent val="0"/>
            <c:showBubbleSize val="0"/>
            <c:showLeaderLines val="1"/>
            <c:extLst>
              <c:ext xmlns:c15="http://schemas.microsoft.com/office/drawing/2012/chart" uri="{CE6537A1-D6FC-4f65-9D91-7224C49458BB}">
                <c15:layout/>
                <c15:showLeaderLines val="1"/>
                <c15:leaderLines>
                  <c:spPr>
                    <a:noFill/>
                    <a:ln w="9525" cap="flat" cmpd="sng" algn="ctr">
                      <a:solidFill>
                        <a:schemeClr val="tx1">
                          <a:lumMod val="35000"/>
                          <a:lumOff val="65000"/>
                        </a:schemeClr>
                      </a:solidFill>
                      <a:round/>
                    </a:ln>
                    <a:effectLst/>
                  </c:spPr>
                </c15:leaderLines>
              </c:ext>
            </c:extLst>
          </c:dLbls>
          <c:cat>
            <c:strRef>
              <c:f>'[新建 Microsoft Excel 工作表.xlsx]Sheet2'!$A$1:$A$2</c:f>
              <c:strCache>
                <c:ptCount val="2"/>
                <c:pt idx="0">
                  <c:v>基本支出 487.96万元，占 83.56%</c:v>
                </c:pt>
                <c:pt idx="1">
                  <c:v>项目支出 96.00万元，占 16.44%</c:v>
                </c:pt>
              </c:strCache>
            </c:strRef>
          </c:cat>
          <c:val>
            <c:numRef>
              <c:f>'[新建 Microsoft Excel 工作表.xlsx]Sheet2'!$C$1:$C$2</c:f>
              <c:numCache>
                <c:formatCode>General</c:formatCode>
                <c:ptCount val="2"/>
                <c:pt idx="0" c:formatCode="General">
                  <c:v>487.96</c:v>
                </c:pt>
                <c:pt idx="1" c:formatCode="General">
                  <c:v>96</c:v>
                </c:pt>
              </c:numCache>
            </c:numRef>
          </c:val>
        </c:ser>
        <c:dLbls>
          <c:dLblPos val="bestFit"/>
          <c:showLegendKey val="0"/>
          <c:showVal val="0"/>
          <c:showCatName val="0"/>
          <c:showSerName val="0"/>
          <c:showPercent val="0"/>
          <c:showBubbleSize val="0"/>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rot="0" spcFirstLastPara="0" vertOverflow="ellipsis" horzOverflow="overflow" vert="horz" wrap="square" anchor="ctr" anchorCtr="1"/>
    <a:lstStyle/>
    <a:p>
      <a:pPr>
        <a:defRPr lang="zh-CN" sz="1000" kern="1200">
          <a:solidFill>
            <a:schemeClr val="tx1"/>
          </a:solidFill>
          <a:latin typeface="+mn-lt"/>
          <a:ea typeface="+mn-ea"/>
          <a:cs typeface="+mn-cs"/>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14173</Words>
  <Characters>14417</Characters>
  <Lines>246</Lines>
  <Paragraphs>69</Paragraphs>
  <TotalTime>0</TotalTime>
  <ScaleCrop>false</ScaleCrop>
  <LinksUpToDate>false</LinksUpToDate>
  <CharactersWithSpaces>16080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2021-11-01T08:43:00Z</dcterms:created>
  <dc:creator>Richard Meng</dc:creator>
  <cp:lastModifiedBy>Administrator</cp:lastModifiedBy>
  <cp:lastPrinted>2023-01-16T08:04:00Z</cp:lastPrinted>
  <dcterms:modified xsi:type="dcterms:W3CDTF">2025-02-11T10:29:12Z</dcterms:modified>
  <cp:revision>1199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5D3690F2995F4A1CB060999AEDA41B7D_13</vt:lpwstr>
  </property>
  <property fmtid="{D5CDD505-2E9C-101B-9397-08002B2CF9AE}" pid="4" name="KSOTemplateDocerSaveRecord">
    <vt:lpwstr>eyJoZGlkIjoiMDg5ZGI3ZTFmYjc0YWJjNWZlYTgzMWUxMmM3ZDUyNzUiLCJ1c2VySWQiOiI1MDIxODAzNzEifQ==</vt:lpwstr>
  </property>
</Properties>
</file>